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14" w14:textId="6A1E67F7" w:rsidR="54A46CAC" w:rsidRPr="00E8770E" w:rsidRDefault="54A46CAC" w:rsidP="5521AB01">
      <w:pPr>
        <w:pStyle w:val="Heading1"/>
        <w:spacing w:before="33"/>
        <w:ind w:right="1"/>
        <w:jc w:val="center"/>
        <w:rPr>
          <w:rFonts w:ascii="Calibri" w:eastAsia="Calibri" w:hAnsi="Calibri" w:cs="Calibri"/>
          <w:b/>
          <w:bCs/>
          <w:color w:val="000000" w:themeColor="text1"/>
          <w:sz w:val="22"/>
          <w:szCs w:val="22"/>
          <w:u w:val="single"/>
        </w:rPr>
      </w:pPr>
      <w:r w:rsidRPr="1D5AFCFA">
        <w:rPr>
          <w:rFonts w:ascii="Calibri" w:eastAsia="Calibri" w:hAnsi="Calibri" w:cs="Calibri"/>
          <w:b/>
          <w:bCs/>
          <w:color w:val="000000" w:themeColor="text1"/>
          <w:sz w:val="22"/>
          <w:szCs w:val="22"/>
          <w:u w:val="single"/>
        </w:rPr>
        <w:t>FWG 1</w:t>
      </w:r>
      <w:r w:rsidR="3293BD52" w:rsidRPr="1D5AFCFA">
        <w:rPr>
          <w:rFonts w:ascii="Calibri" w:eastAsia="Calibri" w:hAnsi="Calibri" w:cs="Calibri"/>
          <w:b/>
          <w:bCs/>
          <w:color w:val="000000" w:themeColor="text1"/>
          <w:sz w:val="22"/>
          <w:szCs w:val="22"/>
          <w:u w:val="single"/>
        </w:rPr>
        <w:t>5</w:t>
      </w:r>
      <w:r w:rsidRPr="1D5AFCFA">
        <w:rPr>
          <w:rFonts w:ascii="Calibri" w:eastAsia="Calibri" w:hAnsi="Calibri" w:cs="Calibri"/>
          <w:b/>
          <w:bCs/>
          <w:color w:val="000000" w:themeColor="text1"/>
          <w:sz w:val="22"/>
          <w:szCs w:val="22"/>
          <w:u w:val="single"/>
        </w:rPr>
        <w:t xml:space="preserve"> – </w:t>
      </w:r>
      <w:r w:rsidR="3CC8495B" w:rsidRPr="1D5AFCFA">
        <w:rPr>
          <w:rFonts w:ascii="Calibri" w:eastAsia="Calibri" w:hAnsi="Calibri" w:cs="Calibri"/>
          <w:b/>
          <w:bCs/>
          <w:color w:val="000000" w:themeColor="text1"/>
          <w:sz w:val="22"/>
          <w:szCs w:val="22"/>
          <w:u w:val="single"/>
        </w:rPr>
        <w:t>Small</w:t>
      </w:r>
      <w:r w:rsidRPr="1D5AFCFA">
        <w:rPr>
          <w:rFonts w:ascii="Calibri" w:eastAsia="Calibri" w:hAnsi="Calibri" w:cs="Calibri"/>
          <w:b/>
          <w:bCs/>
          <w:color w:val="000000" w:themeColor="text1"/>
          <w:sz w:val="22"/>
          <w:szCs w:val="22"/>
          <w:u w:val="single"/>
        </w:rPr>
        <w:t xml:space="preserve"> </w:t>
      </w:r>
      <w:r w:rsidR="01DA749F" w:rsidRPr="1D5AFCFA">
        <w:rPr>
          <w:rFonts w:ascii="Calibri" w:eastAsia="Calibri" w:hAnsi="Calibri" w:cs="Calibri"/>
          <w:b/>
          <w:bCs/>
          <w:color w:val="000000" w:themeColor="text1"/>
          <w:sz w:val="22"/>
          <w:szCs w:val="22"/>
          <w:u w:val="single"/>
        </w:rPr>
        <w:t>G</w:t>
      </w:r>
      <w:r w:rsidRPr="1D5AFCFA">
        <w:rPr>
          <w:rFonts w:ascii="Calibri" w:eastAsia="Calibri" w:hAnsi="Calibri" w:cs="Calibri"/>
          <w:b/>
          <w:bCs/>
          <w:color w:val="000000" w:themeColor="text1"/>
          <w:sz w:val="22"/>
          <w:szCs w:val="22"/>
          <w:u w:val="single"/>
        </w:rPr>
        <w:t xml:space="preserve">roup </w:t>
      </w:r>
      <w:r w:rsidR="0BA1A78E" w:rsidRPr="1D5AFCFA">
        <w:rPr>
          <w:rFonts w:ascii="Calibri" w:eastAsia="Calibri" w:hAnsi="Calibri" w:cs="Calibri"/>
          <w:b/>
          <w:bCs/>
          <w:color w:val="000000" w:themeColor="text1"/>
          <w:sz w:val="22"/>
          <w:szCs w:val="22"/>
          <w:u w:val="single"/>
        </w:rPr>
        <w:t>D</w:t>
      </w:r>
      <w:r w:rsidRPr="1D5AFCFA">
        <w:rPr>
          <w:rFonts w:ascii="Calibri" w:eastAsia="Calibri" w:hAnsi="Calibri" w:cs="Calibri"/>
          <w:b/>
          <w:bCs/>
          <w:color w:val="000000" w:themeColor="text1"/>
          <w:sz w:val="22"/>
          <w:szCs w:val="22"/>
          <w:u w:val="single"/>
        </w:rPr>
        <w:t>iscussions</w:t>
      </w:r>
      <w:r w:rsidR="2388EA9D" w:rsidRPr="1D5AFCFA">
        <w:rPr>
          <w:rFonts w:ascii="Calibri" w:eastAsia="Calibri" w:hAnsi="Calibri" w:cs="Calibri"/>
          <w:b/>
          <w:bCs/>
          <w:color w:val="000000" w:themeColor="text1"/>
          <w:sz w:val="22"/>
          <w:szCs w:val="22"/>
          <w:u w:val="single"/>
        </w:rPr>
        <w:t xml:space="preserve"> </w:t>
      </w:r>
      <w:r w:rsidR="070DDDD5" w:rsidRPr="1D5AFCFA">
        <w:rPr>
          <w:rFonts w:ascii="Calibri" w:eastAsia="Calibri" w:hAnsi="Calibri" w:cs="Calibri"/>
          <w:b/>
          <w:bCs/>
          <w:color w:val="000000" w:themeColor="text1"/>
          <w:sz w:val="22"/>
          <w:szCs w:val="22"/>
          <w:u w:val="single"/>
        </w:rPr>
        <w:t>N</w:t>
      </w:r>
      <w:r w:rsidR="2388EA9D" w:rsidRPr="1D5AFCFA">
        <w:rPr>
          <w:rFonts w:ascii="Calibri" w:eastAsia="Calibri" w:hAnsi="Calibri" w:cs="Calibri"/>
          <w:b/>
          <w:bCs/>
          <w:color w:val="000000" w:themeColor="text1"/>
          <w:sz w:val="22"/>
          <w:szCs w:val="22"/>
          <w:u w:val="single"/>
        </w:rPr>
        <w:t>otes</w:t>
      </w:r>
    </w:p>
    <w:p w14:paraId="0B9A2903" w14:textId="21DC764C" w:rsidR="036B41D6" w:rsidRDefault="65D7876C" w:rsidP="5521AB01">
      <w:pPr>
        <w:pStyle w:val="NoSpacing"/>
        <w:jc w:val="center"/>
        <w:rPr>
          <w:rFonts w:ascii="Calibri" w:eastAsia="Calibri" w:hAnsi="Calibri" w:cs="Calibri"/>
          <w:color w:val="000000" w:themeColor="text1"/>
          <w:sz w:val="22"/>
          <w:szCs w:val="22"/>
        </w:rPr>
      </w:pPr>
      <w:r w:rsidRPr="1D5AFCFA">
        <w:rPr>
          <w:rFonts w:ascii="Calibri" w:eastAsia="Calibri" w:hAnsi="Calibri" w:cs="Calibri"/>
          <w:color w:val="000000" w:themeColor="text1"/>
          <w:sz w:val="22"/>
          <w:szCs w:val="22"/>
        </w:rPr>
        <w:t xml:space="preserve">Day 2: </w:t>
      </w:r>
      <w:r w:rsidR="244F1D1D" w:rsidRPr="1D5AFCFA">
        <w:rPr>
          <w:rFonts w:ascii="Calibri" w:eastAsia="Calibri" w:hAnsi="Calibri" w:cs="Calibri"/>
          <w:color w:val="000000" w:themeColor="text1"/>
          <w:sz w:val="22"/>
          <w:szCs w:val="22"/>
        </w:rPr>
        <w:t>3</w:t>
      </w:r>
      <w:r w:rsidR="54A46CAC" w:rsidRPr="1D5AFCFA">
        <w:rPr>
          <w:rFonts w:ascii="Calibri" w:eastAsia="Calibri" w:hAnsi="Calibri" w:cs="Calibri"/>
          <w:color w:val="000000" w:themeColor="text1"/>
          <w:sz w:val="22"/>
          <w:szCs w:val="22"/>
        </w:rPr>
        <w:t xml:space="preserve"> </w:t>
      </w:r>
      <w:r w:rsidR="7DE77875" w:rsidRPr="1D5AFCFA">
        <w:rPr>
          <w:rFonts w:ascii="Calibri" w:eastAsia="Calibri" w:hAnsi="Calibri" w:cs="Calibri"/>
          <w:color w:val="000000" w:themeColor="text1"/>
          <w:sz w:val="22"/>
          <w:szCs w:val="22"/>
        </w:rPr>
        <w:t xml:space="preserve">June </w:t>
      </w:r>
      <w:r w:rsidR="34629DEA" w:rsidRPr="1D5AFCFA">
        <w:rPr>
          <w:rFonts w:ascii="Calibri" w:eastAsia="Calibri" w:hAnsi="Calibri" w:cs="Calibri"/>
          <w:color w:val="000000" w:themeColor="text1"/>
          <w:sz w:val="22"/>
          <w:szCs w:val="22"/>
        </w:rPr>
        <w:t>202</w:t>
      </w:r>
      <w:r w:rsidR="1CBC480A" w:rsidRPr="1D5AFCFA">
        <w:rPr>
          <w:rFonts w:ascii="Calibri" w:eastAsia="Calibri" w:hAnsi="Calibri" w:cs="Calibri"/>
          <w:color w:val="000000" w:themeColor="text1"/>
          <w:sz w:val="22"/>
          <w:szCs w:val="22"/>
        </w:rPr>
        <w:t>6</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Name of the group: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Moderators:</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Note takers:</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135140AD" w14:textId="59D85913" w:rsidR="007B65B1" w:rsidRDefault="68C175C9" w:rsidP="380280F8">
      <w:pPr>
        <w:spacing w:after="0" w:line="240" w:lineRule="auto"/>
        <w:rPr>
          <w:rFonts w:ascii="Calibri" w:eastAsia="Calibri" w:hAnsi="Calibri" w:cs="Calibri"/>
          <w:color w:val="000000" w:themeColor="text1"/>
          <w:sz w:val="22"/>
          <w:szCs w:val="22"/>
        </w:rPr>
      </w:pPr>
      <w:r w:rsidRPr="380280F8">
        <w:rPr>
          <w:rFonts w:ascii="Calibri" w:eastAsia="Calibri" w:hAnsi="Calibri" w:cs="Calibri"/>
          <w:b/>
          <w:bCs/>
          <w:i/>
          <w:iCs/>
          <w:color w:val="000000" w:themeColor="text1"/>
          <w:sz w:val="22"/>
          <w:szCs w:val="22"/>
        </w:rPr>
        <w:t>Collective Approach 1: Gathering of Knowledge Holders</w:t>
      </w:r>
    </w:p>
    <w:p w14:paraId="67D0A1D1" w14:textId="7840AA17" w:rsidR="007B65B1" w:rsidRDefault="68C175C9" w:rsidP="380280F8">
      <w:pPr>
        <w:spacing w:after="0" w:line="240" w:lineRule="auto"/>
        <w:rPr>
          <w:rFonts w:ascii="Calibri" w:eastAsia="Calibri" w:hAnsi="Calibri" w:cs="Calibri"/>
          <w:color w:val="000000" w:themeColor="text1"/>
          <w:sz w:val="22"/>
          <w:szCs w:val="22"/>
        </w:rPr>
      </w:pPr>
      <w:r w:rsidRPr="1C7C015E">
        <w:rPr>
          <w:rFonts w:ascii="Calibri" w:eastAsia="Calibri" w:hAnsi="Calibri" w:cs="Calibri"/>
          <w:color w:val="000000" w:themeColor="text1"/>
          <w:sz w:val="22"/>
          <w:szCs w:val="22"/>
        </w:rPr>
        <w:t xml:space="preserve">This approach creates an annual cycle that begins by convening knowledge holders to exchange experiences, worldviews, stories and practices. The outcomes of these gatherings feed into inclusive dialogues with Indigenous Peoples, local communities, Parties, constituted bodies and other LCIPP contributors. An informal briefing is also organized to strengthen the capacity of Indigenous Peoples and local communities for meaningful engagement at COP sessions. Key deliverables include a summary report that documents discussions, recommendations, and engagement opportunities, as well as case studies compiled in various formats. Outputs, including case stories and recommendations, will be woven into the relevant workstreams across the UNFCCC, guided by the annual LCIPP theme(s).  </w:t>
      </w:r>
    </w:p>
    <w:p w14:paraId="27E29CF2" w14:textId="77777777" w:rsidR="00AE1501" w:rsidRDefault="00AE1501" w:rsidP="380280F8">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136DBB00" w14:textId="77777777" w:rsidTr="7C311D5A">
        <w:trPr>
          <w:trHeight w:val="300"/>
        </w:trPr>
        <w:tc>
          <w:tcPr>
            <w:tcW w:w="9000" w:type="dxa"/>
            <w:gridSpan w:val="2"/>
            <w:shd w:val="clear" w:color="auto" w:fill="E2EFD9"/>
            <w:tcMar>
              <w:left w:w="105" w:type="dxa"/>
              <w:right w:w="105" w:type="dxa"/>
            </w:tcMar>
          </w:tcPr>
          <w:p w14:paraId="19E2045D"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Guiding questions: </w:t>
            </w:r>
          </w:p>
          <w:p w14:paraId="0ECE2C65" w14:textId="77777777" w:rsidR="00AE1501" w:rsidRDefault="00AE1501" w:rsidP="004D2F6E">
            <w:pPr>
              <w:rPr>
                <w:rFonts w:ascii="Calibri" w:eastAsia="Calibri" w:hAnsi="Calibri" w:cs="Calibri"/>
                <w:b/>
                <w:bCs/>
                <w:sz w:val="22"/>
                <w:szCs w:val="22"/>
              </w:rPr>
            </w:pPr>
          </w:p>
          <w:p w14:paraId="1689D28B" w14:textId="77777777" w:rsidR="00AE1501" w:rsidRDefault="00AE1501" w:rsidP="004D2F6E">
            <w:pPr>
              <w:rPr>
                <w:rFonts w:ascii="Calibri" w:eastAsia="Calibri" w:hAnsi="Calibri" w:cs="Calibri"/>
                <w:sz w:val="22"/>
                <w:szCs w:val="22"/>
                <w:u w:val="single"/>
              </w:rPr>
            </w:pPr>
            <w:r w:rsidRPr="5521AB01">
              <w:rPr>
                <w:rFonts w:ascii="Calibri" w:eastAsia="Calibri" w:hAnsi="Calibri" w:cs="Calibri"/>
                <w:sz w:val="22"/>
                <w:szCs w:val="22"/>
                <w:u w:val="single"/>
              </w:rPr>
              <w:t>Collective Approach 1: Gathering of Knowledge Holders</w:t>
            </w:r>
          </w:p>
          <w:p w14:paraId="405EECA6" w14:textId="77777777" w:rsidR="00AE1501" w:rsidRDefault="00AE1501" w:rsidP="004D2F6E">
            <w:pPr>
              <w:rPr>
                <w:rFonts w:ascii="Calibri" w:eastAsia="Calibri" w:hAnsi="Calibri" w:cs="Calibri"/>
                <w:sz w:val="22"/>
                <w:szCs w:val="22"/>
                <w:u w:val="single"/>
              </w:rPr>
            </w:pPr>
          </w:p>
          <w:p w14:paraId="4504C055" w14:textId="7AA30ADC" w:rsidR="5403FDE4" w:rsidRDefault="5403FDE4" w:rsidP="7C311D5A">
            <w:pPr>
              <w:pStyle w:val="ListParagraph"/>
              <w:numPr>
                <w:ilvl w:val="0"/>
                <w:numId w:val="2"/>
              </w:numPr>
              <w:rPr>
                <w:rFonts w:ascii="Calibri" w:eastAsia="Calibri" w:hAnsi="Calibri" w:cs="Calibri"/>
                <w:sz w:val="22"/>
                <w:szCs w:val="22"/>
              </w:rPr>
            </w:pPr>
            <w:r w:rsidRPr="7C311D5A">
              <w:rPr>
                <w:rFonts w:ascii="Calibri" w:eastAsia="Calibri" w:hAnsi="Calibri" w:cs="Calibri"/>
                <w:sz w:val="22"/>
                <w:szCs w:val="22"/>
              </w:rPr>
              <w:t>What should be the thematic focus(es) of the 6th LCIPP Annual Gathering of Knowledge Holders, in alignment with the LCIPP functions and annual theme?</w:t>
            </w:r>
          </w:p>
          <w:p w14:paraId="771A8A6D" w14:textId="510AC206" w:rsidR="7C311D5A" w:rsidRDefault="7C311D5A" w:rsidP="7C311D5A">
            <w:pPr>
              <w:pStyle w:val="ListParagraph"/>
              <w:rPr>
                <w:rFonts w:ascii="Calibri" w:eastAsia="Calibri" w:hAnsi="Calibri" w:cs="Calibri"/>
                <w:sz w:val="22"/>
                <w:szCs w:val="22"/>
              </w:rPr>
            </w:pPr>
          </w:p>
          <w:p w14:paraId="33D7C19D" w14:textId="02C9961E" w:rsidR="5403FDE4" w:rsidRDefault="5403FDE4" w:rsidP="7C311D5A">
            <w:pPr>
              <w:pStyle w:val="ListParagraph"/>
              <w:numPr>
                <w:ilvl w:val="0"/>
                <w:numId w:val="2"/>
              </w:numPr>
              <w:rPr>
                <w:rFonts w:ascii="Calibri" w:eastAsia="Calibri" w:hAnsi="Calibri" w:cs="Calibri"/>
                <w:sz w:val="22"/>
                <w:szCs w:val="22"/>
              </w:rPr>
            </w:pPr>
            <w:r w:rsidRPr="7C311D5A">
              <w:rPr>
                <w:rFonts w:ascii="Calibri" w:eastAsia="Calibri" w:hAnsi="Calibri" w:cs="Calibri"/>
                <w:sz w:val="22"/>
                <w:szCs w:val="22"/>
              </w:rPr>
              <w:t xml:space="preserve">How could the LCIPP Annual Gathering of Knowledge Holders be further strengthened to enhance shared understanding and promote the ethical application of diverse values and knowledge systems of Indigenous Peoples and local communities in implementing the Convention and the Paris Agreement? </w:t>
            </w:r>
          </w:p>
          <w:p w14:paraId="5D684F87" w14:textId="4771D45B" w:rsidR="7C311D5A" w:rsidRDefault="7C311D5A" w:rsidP="7C311D5A">
            <w:pPr>
              <w:pStyle w:val="ListParagraph"/>
              <w:rPr>
                <w:rFonts w:ascii="Calibri" w:eastAsia="Calibri" w:hAnsi="Calibri" w:cs="Calibri"/>
                <w:sz w:val="22"/>
                <w:szCs w:val="22"/>
              </w:rPr>
            </w:pPr>
          </w:p>
          <w:p w14:paraId="02477F48" w14:textId="403E9B66" w:rsidR="5403FDE4" w:rsidRDefault="5403FDE4" w:rsidP="7C311D5A">
            <w:pPr>
              <w:pStyle w:val="ListParagraph"/>
              <w:numPr>
                <w:ilvl w:val="0"/>
                <w:numId w:val="2"/>
              </w:numPr>
              <w:rPr>
                <w:rFonts w:ascii="Calibri" w:eastAsia="Calibri" w:hAnsi="Calibri" w:cs="Calibri"/>
                <w:sz w:val="22"/>
                <w:szCs w:val="22"/>
              </w:rPr>
            </w:pPr>
            <w:r w:rsidRPr="7C311D5A">
              <w:rPr>
                <w:rFonts w:ascii="Calibri" w:eastAsia="Calibri" w:hAnsi="Calibri" w:cs="Calibri"/>
                <w:sz w:val="22"/>
                <w:szCs w:val="22"/>
              </w:rPr>
              <w:t>Should the LCIPP Annual Gathering of Knowledge Holders be continued in the next workplan of the LCIPP? If so, how could it be further strengthened?</w:t>
            </w:r>
          </w:p>
          <w:p w14:paraId="0A4BA7B7" w14:textId="2FF7A109" w:rsidR="00AE1501" w:rsidRDefault="00AE1501" w:rsidP="1C7C015E">
            <w:pPr>
              <w:rPr>
                <w:rFonts w:ascii="Calibri" w:eastAsia="Calibri" w:hAnsi="Calibri" w:cs="Calibri"/>
                <w:sz w:val="22"/>
                <w:szCs w:val="22"/>
                <w:u w:val="single"/>
              </w:rPr>
            </w:pPr>
          </w:p>
        </w:tc>
      </w:tr>
      <w:tr w:rsidR="00AE1501" w14:paraId="7CA8EA00" w14:textId="77777777" w:rsidTr="7C311D5A">
        <w:trPr>
          <w:trHeight w:val="300"/>
        </w:trPr>
        <w:tc>
          <w:tcPr>
            <w:tcW w:w="4500" w:type="dxa"/>
            <w:tcMar>
              <w:left w:w="105" w:type="dxa"/>
              <w:right w:w="105" w:type="dxa"/>
            </w:tcMar>
          </w:tcPr>
          <w:p w14:paraId="73ABA638" w14:textId="77777777" w:rsidR="00AE1501" w:rsidRDefault="00AE1501" w:rsidP="004D2F6E">
            <w:r w:rsidRPr="5521AB01">
              <w:rPr>
                <w:rFonts w:ascii="Calibri" w:eastAsia="Calibri" w:hAnsi="Calibri" w:cs="Calibri"/>
                <w:sz w:val="22"/>
                <w:szCs w:val="22"/>
              </w:rPr>
              <w:t xml:space="preserve">Running Notes: </w:t>
            </w:r>
            <w:r w:rsidRPr="5521AB01">
              <w:rPr>
                <w:rFonts w:ascii="Calibri" w:eastAsia="Calibri" w:hAnsi="Calibri" w:cs="Calibri"/>
                <w:b/>
                <w:bCs/>
                <w:sz w:val="22"/>
                <w:szCs w:val="22"/>
                <w:highlight w:val="yellow"/>
              </w:rPr>
              <w:t>Collective Approach 1</w:t>
            </w:r>
            <w:r w:rsidRPr="5521AB01">
              <w:rPr>
                <w:rFonts w:ascii="Calibri" w:eastAsia="Calibri" w:hAnsi="Calibri" w:cs="Calibri"/>
                <w:b/>
                <w:bCs/>
                <w:sz w:val="22"/>
                <w:szCs w:val="22"/>
              </w:rPr>
              <w:t xml:space="preserve"> </w:t>
            </w:r>
          </w:p>
          <w:p w14:paraId="1B14AD87" w14:textId="77777777" w:rsidR="00AE1501" w:rsidRDefault="00AE1501" w:rsidP="004D2F6E">
            <w:r w:rsidRPr="721EF3B2">
              <w:rPr>
                <w:rFonts w:ascii="Calibri" w:eastAsia="Calibri" w:hAnsi="Calibri" w:cs="Calibri"/>
                <w:sz w:val="22"/>
                <w:szCs w:val="22"/>
              </w:rPr>
              <w:t xml:space="preserve"> </w:t>
            </w:r>
          </w:p>
          <w:p w14:paraId="0351DF33" w14:textId="77777777" w:rsidR="00AE1501" w:rsidRDefault="00AE1501" w:rsidP="004D2F6E">
            <w:pPr>
              <w:pStyle w:val="ListParagraph"/>
              <w:ind w:left="1080"/>
              <w:rPr>
                <w:rFonts w:ascii="Calibri" w:eastAsia="Calibri" w:hAnsi="Calibri" w:cs="Calibri"/>
                <w:sz w:val="22"/>
                <w:szCs w:val="22"/>
              </w:rPr>
            </w:pPr>
          </w:p>
          <w:p w14:paraId="76EC621E" w14:textId="56801F30" w:rsidR="00AE1501" w:rsidRDefault="00AE1501" w:rsidP="004D2F6E">
            <w:pPr>
              <w:rPr>
                <w:rFonts w:ascii="Calibri" w:eastAsia="Calibri" w:hAnsi="Calibri" w:cs="Calibri"/>
                <w:sz w:val="22"/>
                <w:szCs w:val="22"/>
              </w:rPr>
            </w:pPr>
          </w:p>
          <w:p w14:paraId="6474624E" w14:textId="77777777" w:rsidR="00AE1501" w:rsidRDefault="00AE1501" w:rsidP="004D2F6E">
            <w:pPr>
              <w:rPr>
                <w:rFonts w:ascii="Calibri" w:eastAsia="Calibri" w:hAnsi="Calibri" w:cs="Calibri"/>
                <w:sz w:val="22"/>
                <w:szCs w:val="22"/>
              </w:rPr>
            </w:pPr>
          </w:p>
          <w:p w14:paraId="68D766EA" w14:textId="77777777" w:rsidR="00AE1501" w:rsidRDefault="00AE1501" w:rsidP="004D2F6E"/>
          <w:p w14:paraId="2FFF4F92" w14:textId="77777777" w:rsidR="00AE1501" w:rsidRDefault="00AE1501" w:rsidP="004D2F6E"/>
          <w:p w14:paraId="20D9883E" w14:textId="31EA9630" w:rsidR="1C7C015E" w:rsidRDefault="1C7C015E"/>
          <w:p w14:paraId="2CC44E0C" w14:textId="449F4694" w:rsidR="1C7C015E" w:rsidRDefault="1C7C015E"/>
          <w:p w14:paraId="657D1AC0"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0B782047"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Key Messages for reporting back:</w:t>
            </w:r>
          </w:p>
          <w:p w14:paraId="1A7B062F" w14:textId="77777777" w:rsidR="00AE1501" w:rsidRDefault="00AE1501" w:rsidP="004D2F6E">
            <w:pPr>
              <w:rPr>
                <w:rFonts w:ascii="Calibri" w:eastAsia="Calibri" w:hAnsi="Calibri" w:cs="Calibri"/>
                <w:sz w:val="22"/>
                <w:szCs w:val="22"/>
              </w:rPr>
            </w:pPr>
          </w:p>
        </w:tc>
      </w:tr>
      <w:tr w:rsidR="00AE1501" w14:paraId="5121A60B" w14:textId="77777777" w:rsidTr="7C311D5A">
        <w:trPr>
          <w:trHeight w:val="300"/>
        </w:trPr>
        <w:tc>
          <w:tcPr>
            <w:tcW w:w="9000" w:type="dxa"/>
            <w:gridSpan w:val="2"/>
            <w:shd w:val="clear" w:color="auto" w:fill="D1D1D1" w:themeFill="background2" w:themeFillShade="E6"/>
            <w:tcMar>
              <w:left w:w="105" w:type="dxa"/>
              <w:right w:w="105" w:type="dxa"/>
            </w:tcMar>
          </w:tcPr>
          <w:p w14:paraId="42BD261C" w14:textId="77777777" w:rsidR="00AE1501" w:rsidRDefault="00AE1501" w:rsidP="00AE1501">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Additional Important Information Shared:</w:t>
            </w:r>
          </w:p>
          <w:p w14:paraId="798A7E71" w14:textId="6D6BDC7B" w:rsidR="00AE1501" w:rsidRPr="5521AB01" w:rsidRDefault="00AE1501" w:rsidP="00AE1501">
            <w:pPr>
              <w:rPr>
                <w:rFonts w:ascii="Calibri" w:eastAsia="Calibri" w:hAnsi="Calibri" w:cs="Calibri"/>
                <w:sz w:val="22"/>
                <w:szCs w:val="22"/>
              </w:rPr>
            </w:pPr>
            <w:r w:rsidRPr="23AE78E9">
              <w:rPr>
                <w:rFonts w:ascii="Calibri" w:eastAsia="Calibri" w:hAnsi="Calibri" w:cs="Calibri"/>
                <w:color w:val="000000" w:themeColor="text1"/>
                <w:sz w:val="22"/>
                <w:szCs w:val="22"/>
              </w:rPr>
              <w:t>Important case stories (</w:t>
            </w:r>
            <w:proofErr w:type="gramStart"/>
            <w:r w:rsidRPr="23AE78E9">
              <w:rPr>
                <w:rFonts w:ascii="Calibri" w:eastAsia="Calibri" w:hAnsi="Calibri" w:cs="Calibri"/>
                <w:color w:val="000000" w:themeColor="text1"/>
                <w:sz w:val="22"/>
                <w:szCs w:val="22"/>
              </w:rPr>
              <w:t>e.g.</w:t>
            </w:r>
            <w:proofErr w:type="gramEnd"/>
            <w:r w:rsidRPr="23AE78E9">
              <w:rPr>
                <w:rFonts w:ascii="Calibri" w:eastAsia="Calibri" w:hAnsi="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00AE1501" w14:paraId="04C6500C" w14:textId="77777777" w:rsidTr="7C311D5A">
        <w:trPr>
          <w:trHeight w:val="300"/>
        </w:trPr>
        <w:tc>
          <w:tcPr>
            <w:tcW w:w="9000" w:type="dxa"/>
            <w:gridSpan w:val="2"/>
            <w:tcMar>
              <w:left w:w="105" w:type="dxa"/>
              <w:right w:w="105" w:type="dxa"/>
            </w:tcMar>
          </w:tcPr>
          <w:p w14:paraId="1518B108" w14:textId="0304E668" w:rsidR="00AE1501" w:rsidRDefault="00AE1501" w:rsidP="7C311D5A">
            <w:pPr>
              <w:rPr>
                <w:rFonts w:ascii="Calibri" w:eastAsia="Calibri" w:hAnsi="Calibri" w:cs="Calibri"/>
                <w:color w:val="000000" w:themeColor="text1"/>
                <w:sz w:val="22"/>
                <w:szCs w:val="22"/>
              </w:rPr>
            </w:pPr>
          </w:p>
          <w:p w14:paraId="0BDBA7F0" w14:textId="77777777" w:rsidR="00AE1501" w:rsidRPr="5521AB01" w:rsidRDefault="00AE1501" w:rsidP="00AE1501">
            <w:pPr>
              <w:rPr>
                <w:rFonts w:ascii="Calibri" w:eastAsia="Calibri" w:hAnsi="Calibri" w:cs="Calibri"/>
                <w:sz w:val="22"/>
                <w:szCs w:val="22"/>
              </w:rPr>
            </w:pPr>
          </w:p>
        </w:tc>
      </w:tr>
    </w:tbl>
    <w:p w14:paraId="41CBCFFA" w14:textId="616A7691" w:rsidR="007B65B1" w:rsidRDefault="68C175C9" w:rsidP="1D5AFCFA">
      <w:pPr>
        <w:tabs>
          <w:tab w:val="left" w:pos="5402"/>
        </w:tabs>
        <w:spacing w:after="0" w:line="240" w:lineRule="auto"/>
        <w:rPr>
          <w:rFonts w:ascii="Calibri" w:eastAsia="Calibri" w:hAnsi="Calibri" w:cs="Calibri"/>
          <w:color w:val="000000" w:themeColor="text1"/>
          <w:sz w:val="22"/>
          <w:szCs w:val="22"/>
        </w:rPr>
      </w:pPr>
      <w:r w:rsidRPr="1C7C015E">
        <w:rPr>
          <w:rFonts w:ascii="Calibri" w:eastAsia="Calibri" w:hAnsi="Calibri" w:cs="Calibri"/>
          <w:b/>
          <w:bCs/>
          <w:i/>
          <w:iCs/>
          <w:color w:val="000000" w:themeColor="text1"/>
          <w:sz w:val="22"/>
          <w:szCs w:val="22"/>
        </w:rPr>
        <w:t xml:space="preserve">Collective Approach 3: Seventh-Generation Roundtable </w:t>
      </w:r>
    </w:p>
    <w:p w14:paraId="4EE6A3D0" w14:textId="3EE81094" w:rsidR="007B65B1" w:rsidRDefault="61221A3D" w:rsidP="41BE52C5">
      <w:pPr>
        <w:spacing w:after="0" w:line="240" w:lineRule="auto"/>
        <w:rPr>
          <w:rFonts w:ascii="Calibri" w:eastAsia="Calibri" w:hAnsi="Calibri" w:cs="Calibri"/>
          <w:color w:val="000000" w:themeColor="text1"/>
          <w:sz w:val="22"/>
          <w:szCs w:val="22"/>
          <w:lang w:val="en-IE"/>
        </w:rPr>
      </w:pPr>
      <w:r w:rsidRPr="41BE52C5">
        <w:rPr>
          <w:rFonts w:ascii="Calibri" w:eastAsia="Calibri" w:hAnsi="Calibri" w:cs="Calibri"/>
          <w:color w:val="000000" w:themeColor="text1"/>
          <w:sz w:val="22"/>
          <w:szCs w:val="22"/>
          <w:lang w:val="en-IE"/>
        </w:rPr>
        <w:t>This approach centres on an annual Seventh-Generation Round Table, grounded in the principle of safeguarding the well-being of the seventh generation and elevating intergenerational perspectives.  Preparations for the Round Table include virtual meetings to engage Indigenous youth and youth from local communities in designing a regionally balanced agenda and building their capacity for meaningful engagement in COP sessions.  Outcomes, including summary reports, recommendations and case stories, enrich the UNFCCC process by amplifying the voices of Indigenous youth and youth from local communities and reinforcing intergenerational and global commitments to climate action and the restoration of nature.</w:t>
      </w:r>
    </w:p>
    <w:p w14:paraId="161FCC14" w14:textId="639DE208" w:rsidR="00AE1501" w:rsidRDefault="00AE1501" w:rsidP="5B65093A">
      <w:pPr>
        <w:spacing w:after="0" w:line="240" w:lineRule="auto"/>
        <w:rPr>
          <w:rFonts w:ascii="Calibri" w:eastAsia="Calibri" w:hAnsi="Calibri" w:cs="Calibri"/>
          <w:color w:val="000000" w:themeColor="text1"/>
          <w:sz w:val="22"/>
          <w:szCs w:val="22"/>
          <w:lang w:val="en-I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7433B775" w14:textId="77777777" w:rsidTr="7C311D5A">
        <w:trPr>
          <w:trHeight w:val="300"/>
        </w:trPr>
        <w:tc>
          <w:tcPr>
            <w:tcW w:w="9000" w:type="dxa"/>
            <w:gridSpan w:val="2"/>
            <w:shd w:val="clear" w:color="auto" w:fill="E2EFD9"/>
            <w:tcMar>
              <w:left w:w="105" w:type="dxa"/>
              <w:right w:w="105" w:type="dxa"/>
            </w:tcMar>
          </w:tcPr>
          <w:p w14:paraId="7DDD81E4"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Guiding questions: </w:t>
            </w:r>
          </w:p>
          <w:p w14:paraId="35CD0C14" w14:textId="77777777" w:rsidR="00AE1501" w:rsidRDefault="00AE1501" w:rsidP="004D2F6E">
            <w:pPr>
              <w:rPr>
                <w:rFonts w:ascii="Calibri" w:eastAsia="Calibri" w:hAnsi="Calibri" w:cs="Calibri"/>
                <w:b/>
                <w:bCs/>
                <w:sz w:val="22"/>
                <w:szCs w:val="22"/>
              </w:rPr>
            </w:pPr>
          </w:p>
          <w:p w14:paraId="21371B20" w14:textId="77777777" w:rsidR="00AE1501" w:rsidRDefault="00AE1501" w:rsidP="00AE1501">
            <w:pPr>
              <w:rPr>
                <w:rFonts w:ascii="Calibri" w:eastAsia="Calibri" w:hAnsi="Calibri" w:cs="Calibri"/>
                <w:sz w:val="22"/>
                <w:szCs w:val="22"/>
                <w:u w:val="single"/>
              </w:rPr>
            </w:pPr>
            <w:r w:rsidRPr="5521AB01">
              <w:rPr>
                <w:rFonts w:ascii="Calibri" w:eastAsia="Calibri" w:hAnsi="Calibri" w:cs="Calibri"/>
                <w:sz w:val="22"/>
                <w:szCs w:val="22"/>
                <w:u w:val="single"/>
              </w:rPr>
              <w:t xml:space="preserve">Collective Approach 3: Seventh-Generation Round </w:t>
            </w:r>
            <w:r>
              <w:rPr>
                <w:rFonts w:ascii="Calibri" w:eastAsia="Calibri" w:hAnsi="Calibri" w:cs="Calibri"/>
                <w:sz w:val="22"/>
                <w:szCs w:val="22"/>
                <w:u w:val="single"/>
              </w:rPr>
              <w:t>T</w:t>
            </w:r>
            <w:r w:rsidRPr="5521AB01">
              <w:rPr>
                <w:rFonts w:ascii="Calibri" w:eastAsia="Calibri" w:hAnsi="Calibri" w:cs="Calibri"/>
                <w:sz w:val="22"/>
                <w:szCs w:val="22"/>
                <w:u w:val="single"/>
              </w:rPr>
              <w:t>able</w:t>
            </w:r>
          </w:p>
          <w:p w14:paraId="5A186F12" w14:textId="77777777" w:rsidR="00AE1501" w:rsidRDefault="00AE1501" w:rsidP="00AE1501">
            <w:pPr>
              <w:rPr>
                <w:rFonts w:ascii="Calibri" w:eastAsia="Calibri" w:hAnsi="Calibri" w:cs="Calibri"/>
                <w:sz w:val="22"/>
                <w:szCs w:val="22"/>
                <w:u w:val="single"/>
              </w:rPr>
            </w:pPr>
          </w:p>
          <w:p w14:paraId="57B79BF4" w14:textId="4E73250A" w:rsidR="2C6425EF" w:rsidRDefault="2C6425EF" w:rsidP="7C311D5A">
            <w:pPr>
              <w:pStyle w:val="ListParagraph"/>
              <w:numPr>
                <w:ilvl w:val="0"/>
                <w:numId w:val="1"/>
              </w:numPr>
              <w:tabs>
                <w:tab w:val="left" w:pos="720"/>
              </w:tabs>
              <w:rPr>
                <w:rFonts w:ascii="Calibri" w:eastAsia="Calibri" w:hAnsi="Calibri" w:cs="Calibri"/>
                <w:sz w:val="22"/>
                <w:szCs w:val="22"/>
              </w:rPr>
            </w:pPr>
            <w:r w:rsidRPr="7C311D5A">
              <w:rPr>
                <w:rFonts w:ascii="Calibri" w:eastAsia="Calibri" w:hAnsi="Calibri" w:cs="Calibri"/>
                <w:sz w:val="22"/>
                <w:szCs w:val="22"/>
              </w:rPr>
              <w:t>What should be the thematic focus(es) of the LCIPP Annual Seventh-Generation Round Table and Intergenerational Dialogue, while taking into account the LCIPP functions, the annual theme, and relevant activities under the rolling plan of action of the WIM ExCom non-economic loss expert group?</w:t>
            </w:r>
          </w:p>
          <w:p w14:paraId="64C4A93E" w14:textId="372F851D" w:rsidR="7C311D5A" w:rsidRDefault="7C311D5A" w:rsidP="7C311D5A">
            <w:pPr>
              <w:pStyle w:val="ListParagraph"/>
              <w:tabs>
                <w:tab w:val="left" w:pos="720"/>
              </w:tabs>
              <w:rPr>
                <w:rFonts w:ascii="Calibri" w:eastAsia="Calibri" w:hAnsi="Calibri" w:cs="Calibri"/>
                <w:sz w:val="22"/>
                <w:szCs w:val="22"/>
              </w:rPr>
            </w:pPr>
          </w:p>
          <w:p w14:paraId="40B084A7" w14:textId="3AB7A1FD" w:rsidR="2C6425EF" w:rsidRDefault="2C6425EF" w:rsidP="7C311D5A">
            <w:pPr>
              <w:pStyle w:val="ListParagraph"/>
              <w:numPr>
                <w:ilvl w:val="0"/>
                <w:numId w:val="1"/>
              </w:numPr>
              <w:rPr>
                <w:rFonts w:ascii="Calibri" w:eastAsia="Calibri" w:hAnsi="Calibri" w:cs="Calibri"/>
                <w:sz w:val="22"/>
                <w:szCs w:val="22"/>
              </w:rPr>
            </w:pPr>
            <w:r w:rsidRPr="7C311D5A">
              <w:rPr>
                <w:rFonts w:ascii="Calibri" w:eastAsia="Calibri" w:hAnsi="Calibri" w:cs="Calibri"/>
                <w:sz w:val="22"/>
                <w:szCs w:val="22"/>
              </w:rPr>
              <w:t>How could the design of the roundtables be improved to facilitate meaningful participation of Indigenous youth and youth from local communities?</w:t>
            </w:r>
          </w:p>
          <w:p w14:paraId="118F7C94" w14:textId="1997AD44" w:rsidR="7C311D5A" w:rsidRDefault="7C311D5A" w:rsidP="7C311D5A">
            <w:pPr>
              <w:pStyle w:val="ListParagraph"/>
              <w:rPr>
                <w:rFonts w:ascii="Calibri" w:eastAsia="Calibri" w:hAnsi="Calibri" w:cs="Calibri"/>
                <w:sz w:val="22"/>
                <w:szCs w:val="22"/>
              </w:rPr>
            </w:pPr>
          </w:p>
          <w:p w14:paraId="48EECBF8" w14:textId="407A427B" w:rsidR="2C6425EF" w:rsidRDefault="2C6425EF" w:rsidP="7C311D5A">
            <w:pPr>
              <w:pStyle w:val="ListParagraph"/>
              <w:numPr>
                <w:ilvl w:val="0"/>
                <w:numId w:val="1"/>
              </w:numPr>
              <w:rPr>
                <w:rFonts w:ascii="Calibri" w:eastAsia="Calibri" w:hAnsi="Calibri" w:cs="Calibri"/>
                <w:sz w:val="22"/>
                <w:szCs w:val="22"/>
              </w:rPr>
            </w:pPr>
            <w:r w:rsidRPr="7C311D5A">
              <w:rPr>
                <w:rFonts w:ascii="Calibri" w:eastAsia="Calibri" w:hAnsi="Calibri" w:cs="Calibri"/>
                <w:sz w:val="22"/>
                <w:szCs w:val="22"/>
              </w:rPr>
              <w:t>Should the LCIPP Annual Seventh-Generation Round Table continue in the next workplan of the LCIPP? What changes could strengthen its relevance and impact?</w:t>
            </w:r>
          </w:p>
          <w:p w14:paraId="259F8811" w14:textId="4B4DD7E3" w:rsidR="00AE1501" w:rsidRDefault="00AE1501" w:rsidP="1C7C015E">
            <w:pPr>
              <w:tabs>
                <w:tab w:val="left" w:pos="720"/>
              </w:tabs>
              <w:rPr>
                <w:rFonts w:ascii="Calibri" w:eastAsia="Calibri" w:hAnsi="Calibri" w:cs="Calibri"/>
                <w:sz w:val="22"/>
                <w:szCs w:val="22"/>
              </w:rPr>
            </w:pPr>
          </w:p>
        </w:tc>
      </w:tr>
      <w:tr w:rsidR="00AE1501" w14:paraId="13EE28A1" w14:textId="77777777" w:rsidTr="7C311D5A">
        <w:trPr>
          <w:trHeight w:val="300"/>
        </w:trPr>
        <w:tc>
          <w:tcPr>
            <w:tcW w:w="4500" w:type="dxa"/>
            <w:tcMar>
              <w:left w:w="105" w:type="dxa"/>
              <w:right w:w="105" w:type="dxa"/>
            </w:tcMar>
          </w:tcPr>
          <w:p w14:paraId="7F12080C" w14:textId="1761EB98" w:rsidR="00AE1501" w:rsidRDefault="00AE1501" w:rsidP="004D2F6E">
            <w:r w:rsidRPr="5521AB01">
              <w:rPr>
                <w:rFonts w:ascii="Calibri" w:eastAsia="Calibri" w:hAnsi="Calibri" w:cs="Calibri"/>
                <w:sz w:val="22"/>
                <w:szCs w:val="22"/>
              </w:rPr>
              <w:t xml:space="preserve">Running Notes: </w:t>
            </w:r>
            <w:r w:rsidRPr="5521AB01">
              <w:rPr>
                <w:rFonts w:ascii="Calibri" w:eastAsia="Calibri" w:hAnsi="Calibri" w:cs="Calibri"/>
                <w:b/>
                <w:bCs/>
                <w:sz w:val="22"/>
                <w:szCs w:val="22"/>
                <w:highlight w:val="yellow"/>
              </w:rPr>
              <w:t xml:space="preserve">Collective </w:t>
            </w:r>
            <w:r w:rsidRPr="00AE1501">
              <w:rPr>
                <w:rFonts w:ascii="Calibri" w:eastAsia="Calibri" w:hAnsi="Calibri" w:cs="Calibri"/>
                <w:b/>
                <w:bCs/>
                <w:sz w:val="22"/>
                <w:szCs w:val="22"/>
                <w:highlight w:val="yellow"/>
              </w:rPr>
              <w:t>Approach 3</w:t>
            </w:r>
            <w:r w:rsidRPr="5521AB01">
              <w:rPr>
                <w:rFonts w:ascii="Calibri" w:eastAsia="Calibri" w:hAnsi="Calibri" w:cs="Calibri"/>
                <w:b/>
                <w:bCs/>
                <w:sz w:val="22"/>
                <w:szCs w:val="22"/>
              </w:rPr>
              <w:t xml:space="preserve"> </w:t>
            </w:r>
          </w:p>
          <w:p w14:paraId="71CBC0FF" w14:textId="77777777" w:rsidR="00AE1501" w:rsidRDefault="00AE1501" w:rsidP="004D2F6E">
            <w:r w:rsidRPr="721EF3B2">
              <w:rPr>
                <w:rFonts w:ascii="Calibri" w:eastAsia="Calibri" w:hAnsi="Calibri" w:cs="Calibri"/>
                <w:sz w:val="22"/>
                <w:szCs w:val="22"/>
              </w:rPr>
              <w:t xml:space="preserve"> </w:t>
            </w:r>
          </w:p>
          <w:p w14:paraId="30B7F498" w14:textId="77777777" w:rsidR="00AE1501" w:rsidRDefault="00AE1501" w:rsidP="004D2F6E">
            <w:pPr>
              <w:pStyle w:val="ListParagraph"/>
              <w:ind w:left="1080"/>
              <w:rPr>
                <w:rFonts w:ascii="Calibri" w:eastAsia="Calibri" w:hAnsi="Calibri" w:cs="Calibri"/>
                <w:sz w:val="22"/>
                <w:szCs w:val="22"/>
              </w:rPr>
            </w:pPr>
          </w:p>
          <w:p w14:paraId="1C2F2BBC"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 xml:space="preserve"> </w:t>
            </w:r>
          </w:p>
          <w:p w14:paraId="3C36689F" w14:textId="77777777" w:rsidR="00AE1501" w:rsidRDefault="00AE1501" w:rsidP="004D2F6E">
            <w:pPr>
              <w:rPr>
                <w:rFonts w:ascii="Calibri" w:eastAsia="Calibri" w:hAnsi="Calibri" w:cs="Calibri"/>
                <w:sz w:val="22"/>
                <w:szCs w:val="22"/>
              </w:rPr>
            </w:pPr>
          </w:p>
          <w:p w14:paraId="58AD8DD5" w14:textId="77777777" w:rsidR="00AE1501" w:rsidRDefault="00AE1501" w:rsidP="004D2F6E">
            <w:pPr>
              <w:rPr>
                <w:rFonts w:ascii="Calibri" w:eastAsia="Calibri" w:hAnsi="Calibri" w:cs="Calibri"/>
                <w:sz w:val="22"/>
                <w:szCs w:val="22"/>
              </w:rPr>
            </w:pPr>
          </w:p>
          <w:p w14:paraId="480F84BC" w14:textId="7B04291B" w:rsidR="1C7C015E" w:rsidRDefault="1C7C015E" w:rsidP="1C7C015E">
            <w:pPr>
              <w:rPr>
                <w:rFonts w:ascii="Calibri" w:eastAsia="Calibri" w:hAnsi="Calibri" w:cs="Calibri"/>
                <w:sz w:val="22"/>
                <w:szCs w:val="22"/>
              </w:rPr>
            </w:pPr>
          </w:p>
          <w:p w14:paraId="4E667B11" w14:textId="1B738FCA" w:rsidR="1C7C015E" w:rsidRDefault="1C7C015E" w:rsidP="1C7C015E">
            <w:pPr>
              <w:rPr>
                <w:rFonts w:ascii="Calibri" w:eastAsia="Calibri" w:hAnsi="Calibri" w:cs="Calibri"/>
                <w:sz w:val="22"/>
                <w:szCs w:val="22"/>
              </w:rPr>
            </w:pPr>
          </w:p>
          <w:p w14:paraId="1527099C" w14:textId="77777777" w:rsidR="00AE1501" w:rsidRDefault="00AE1501" w:rsidP="004D2F6E"/>
          <w:p w14:paraId="430F8598" w14:textId="71F4EEA3" w:rsidR="5B65093A" w:rsidRDefault="5B65093A"/>
          <w:p w14:paraId="15A8685C" w14:textId="77777777" w:rsidR="00AE1501" w:rsidRDefault="00AE1501" w:rsidP="004D2F6E"/>
          <w:p w14:paraId="20ACD788" w14:textId="68D7454C" w:rsidR="1C7C015E" w:rsidRDefault="1C7C015E"/>
          <w:p w14:paraId="4D3DBD1C" w14:textId="647AE8F9" w:rsidR="1C7C015E" w:rsidRDefault="1C7C015E"/>
          <w:p w14:paraId="78B85E38"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54039183"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Key Messages for reporting back:</w:t>
            </w:r>
          </w:p>
          <w:p w14:paraId="27F24281" w14:textId="77777777" w:rsidR="00AE1501" w:rsidRDefault="00AE1501" w:rsidP="004D2F6E">
            <w:pPr>
              <w:rPr>
                <w:rFonts w:ascii="Calibri" w:eastAsia="Calibri" w:hAnsi="Calibri" w:cs="Calibri"/>
                <w:sz w:val="22"/>
                <w:szCs w:val="22"/>
              </w:rPr>
            </w:pPr>
          </w:p>
        </w:tc>
      </w:tr>
      <w:tr w:rsidR="00AE1501" w:rsidRPr="5521AB01" w14:paraId="42B056EA" w14:textId="77777777" w:rsidTr="7C311D5A">
        <w:trPr>
          <w:trHeight w:val="300"/>
        </w:trPr>
        <w:tc>
          <w:tcPr>
            <w:tcW w:w="9000" w:type="dxa"/>
            <w:gridSpan w:val="2"/>
            <w:shd w:val="clear" w:color="auto" w:fill="D1D1D1" w:themeFill="background2" w:themeFillShade="E6"/>
            <w:tcMar>
              <w:left w:w="105" w:type="dxa"/>
              <w:right w:w="105" w:type="dxa"/>
            </w:tcMar>
          </w:tcPr>
          <w:p w14:paraId="32997331" w14:textId="77777777" w:rsidR="00AE1501" w:rsidRDefault="00AE1501" w:rsidP="004D2F6E">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Additional Important Information Shared:</w:t>
            </w:r>
          </w:p>
          <w:p w14:paraId="43E4FC50" w14:textId="77777777" w:rsidR="00AE1501" w:rsidRPr="5521AB01" w:rsidRDefault="00AE1501" w:rsidP="004D2F6E">
            <w:pPr>
              <w:rPr>
                <w:rFonts w:ascii="Calibri" w:eastAsia="Calibri" w:hAnsi="Calibri" w:cs="Calibri"/>
                <w:sz w:val="22"/>
                <w:szCs w:val="22"/>
              </w:rPr>
            </w:pPr>
            <w:r w:rsidRPr="23AE78E9">
              <w:rPr>
                <w:rFonts w:ascii="Calibri" w:eastAsia="Calibri" w:hAnsi="Calibri" w:cs="Calibri"/>
                <w:color w:val="000000" w:themeColor="text1"/>
                <w:sz w:val="22"/>
                <w:szCs w:val="22"/>
              </w:rPr>
              <w:t>Important case stories (</w:t>
            </w:r>
            <w:proofErr w:type="gramStart"/>
            <w:r w:rsidRPr="23AE78E9">
              <w:rPr>
                <w:rFonts w:ascii="Calibri" w:eastAsia="Calibri" w:hAnsi="Calibri" w:cs="Calibri"/>
                <w:color w:val="000000" w:themeColor="text1"/>
                <w:sz w:val="22"/>
                <w:szCs w:val="22"/>
              </w:rPr>
              <w:t>e.g.</w:t>
            </w:r>
            <w:proofErr w:type="gramEnd"/>
            <w:r w:rsidRPr="23AE78E9">
              <w:rPr>
                <w:rFonts w:ascii="Calibri" w:eastAsia="Calibri" w:hAnsi="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00AE1501" w:rsidRPr="5521AB01" w14:paraId="46D3D020" w14:textId="77777777" w:rsidTr="7C311D5A">
        <w:trPr>
          <w:trHeight w:val="300"/>
        </w:trPr>
        <w:tc>
          <w:tcPr>
            <w:tcW w:w="9000" w:type="dxa"/>
            <w:gridSpan w:val="2"/>
            <w:tcMar>
              <w:left w:w="105" w:type="dxa"/>
              <w:right w:w="105" w:type="dxa"/>
            </w:tcMar>
          </w:tcPr>
          <w:p w14:paraId="02031E49" w14:textId="77777777" w:rsidR="00AE1501" w:rsidRDefault="00AE1501" w:rsidP="004D2F6E">
            <w:pPr>
              <w:rPr>
                <w:rFonts w:ascii="Calibri" w:eastAsia="Calibri" w:hAnsi="Calibri" w:cs="Calibri"/>
                <w:color w:val="000000" w:themeColor="text1"/>
                <w:sz w:val="22"/>
                <w:szCs w:val="22"/>
              </w:rPr>
            </w:pPr>
          </w:p>
          <w:p w14:paraId="4CAD90BD" w14:textId="77777777" w:rsidR="00AE1501" w:rsidRDefault="00AE1501" w:rsidP="004D2F6E">
            <w:pPr>
              <w:jc w:val="center"/>
              <w:rPr>
                <w:rFonts w:ascii="Calibri" w:eastAsia="Calibri" w:hAnsi="Calibri" w:cs="Calibri"/>
                <w:color w:val="000000" w:themeColor="text1"/>
                <w:sz w:val="22"/>
                <w:szCs w:val="22"/>
              </w:rPr>
            </w:pPr>
          </w:p>
          <w:p w14:paraId="24A86A3F" w14:textId="4B67F5F6" w:rsidR="1C7C015E" w:rsidRDefault="1C7C015E" w:rsidP="1C7C015E">
            <w:pPr>
              <w:jc w:val="center"/>
              <w:rPr>
                <w:rFonts w:ascii="Calibri" w:eastAsia="Calibri" w:hAnsi="Calibri" w:cs="Calibri"/>
                <w:color w:val="000000" w:themeColor="text1"/>
                <w:sz w:val="22"/>
                <w:szCs w:val="22"/>
              </w:rPr>
            </w:pPr>
          </w:p>
          <w:p w14:paraId="5DF97A40" w14:textId="77777777" w:rsidR="00AE1501" w:rsidRPr="5521AB01" w:rsidRDefault="00AE1501" w:rsidP="004D2F6E">
            <w:pPr>
              <w:rPr>
                <w:rFonts w:ascii="Calibri" w:eastAsia="Calibri" w:hAnsi="Calibri" w:cs="Calibri"/>
                <w:sz w:val="22"/>
                <w:szCs w:val="22"/>
              </w:rPr>
            </w:pPr>
          </w:p>
        </w:tc>
      </w:tr>
    </w:tbl>
    <w:p w14:paraId="54C7538F" w14:textId="77777777" w:rsidR="00AE1501" w:rsidRDefault="00AE1501" w:rsidP="41BE52C5">
      <w:pPr>
        <w:spacing w:after="0" w:line="240" w:lineRule="auto"/>
        <w:rPr>
          <w:rFonts w:ascii="Calibri" w:eastAsia="Calibri" w:hAnsi="Calibri" w:cs="Calibri"/>
          <w:color w:val="000000" w:themeColor="text1"/>
          <w:sz w:val="22"/>
          <w:szCs w:val="22"/>
        </w:rPr>
      </w:pPr>
    </w:p>
    <w:p w14:paraId="5338E283" w14:textId="77777777" w:rsidR="00AE1501" w:rsidRDefault="00AE1501" w:rsidP="41BE52C5">
      <w:pPr>
        <w:spacing w:after="0" w:line="240" w:lineRule="auto"/>
        <w:rPr>
          <w:rFonts w:ascii="Calibri" w:eastAsia="Calibri" w:hAnsi="Calibri" w:cs="Calibri"/>
          <w:color w:val="000000" w:themeColor="text1"/>
          <w:sz w:val="22"/>
          <w:szCs w:val="22"/>
        </w:rPr>
      </w:pPr>
    </w:p>
    <w:sectPr w:rsidR="00AE15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5ED7" w14:textId="77777777" w:rsidR="00674159" w:rsidRDefault="00674159" w:rsidP="00E8770E">
      <w:pPr>
        <w:spacing w:after="0" w:line="240" w:lineRule="auto"/>
      </w:pPr>
      <w:r>
        <w:separator/>
      </w:r>
    </w:p>
  </w:endnote>
  <w:endnote w:type="continuationSeparator" w:id="0">
    <w:p w14:paraId="57E1E62A" w14:textId="77777777" w:rsidR="00674159" w:rsidRDefault="00674159"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0AB8" w14:textId="77777777" w:rsidR="00EB22F2" w:rsidRDefault="00EB2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2593" w14:textId="77777777" w:rsidR="00EB22F2" w:rsidRDefault="00EB2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A729" w14:textId="77777777" w:rsidR="00EB22F2" w:rsidRDefault="00EB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B33" w14:textId="77777777" w:rsidR="00674159" w:rsidRDefault="00674159" w:rsidP="00E8770E">
      <w:pPr>
        <w:spacing w:after="0" w:line="240" w:lineRule="auto"/>
      </w:pPr>
      <w:r>
        <w:separator/>
      </w:r>
    </w:p>
  </w:footnote>
  <w:footnote w:type="continuationSeparator" w:id="0">
    <w:p w14:paraId="737F596D" w14:textId="77777777" w:rsidR="00674159" w:rsidRDefault="00674159" w:rsidP="00E8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C4A8" w14:textId="10E8615E" w:rsidR="00EB22F2" w:rsidRDefault="00EB22F2">
    <w:pPr>
      <w:pStyle w:val="Header"/>
    </w:pPr>
    <w:r w:rsidRPr="00512740">
      <w:rPr>
        <w:noProof/>
      </w:rPr>
    </w:r>
    <w:r w:rsidR="00EB22F2" w:rsidRPr="00512740">
      <w:rPr>
        <w:noProof/>
      </w:rPr>
      <w:pict w14:anchorId="3DEC1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9177"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8D10" w14:textId="2D413A9C" w:rsidR="00EB22F2" w:rsidRDefault="00EB22F2">
    <w:pPr>
      <w:pStyle w:val="Header"/>
    </w:pPr>
    <w:r w:rsidRPr="00E8407A">
      <w:rPr>
        <w:noProof/>
      </w:rPr>
    </w:r>
    <w:r w:rsidR="00EB22F2" w:rsidRPr="00E8407A">
      <w:rPr>
        <w:noProof/>
      </w:rPr>
      <w:pict w14:anchorId="3A72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9178"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6496" w14:textId="20C76633" w:rsidR="00EB22F2" w:rsidRDefault="00EB22F2">
    <w:pPr>
      <w:pStyle w:val="Header"/>
    </w:pPr>
    <w:r w:rsidRPr="00195503">
      <w:rPr>
        <w:noProof/>
      </w:rPr>
    </w:r>
    <w:r w:rsidR="00EB22F2" w:rsidRPr="00195503">
      <w:rPr>
        <w:noProof/>
      </w:rPr>
      <w:pict w14:anchorId="1CA88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959176" o:spid="_x0000_s1026"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3C2D55BD"/>
    <w:multiLevelType w:val="hybridMultilevel"/>
    <w:tmpl w:val="93EEBD0C"/>
    <w:lvl w:ilvl="0" w:tplc="1A407732">
      <w:start w:val="1"/>
      <w:numFmt w:val="decimal"/>
      <w:lvlText w:val="%1."/>
      <w:lvlJc w:val="left"/>
      <w:pPr>
        <w:ind w:left="720" w:hanging="360"/>
      </w:pPr>
    </w:lvl>
    <w:lvl w:ilvl="1" w:tplc="50763900">
      <w:start w:val="1"/>
      <w:numFmt w:val="lowerLetter"/>
      <w:lvlText w:val="%2."/>
      <w:lvlJc w:val="left"/>
      <w:pPr>
        <w:ind w:left="1440" w:hanging="360"/>
      </w:pPr>
    </w:lvl>
    <w:lvl w:ilvl="2" w:tplc="35E035A0">
      <w:start w:val="1"/>
      <w:numFmt w:val="lowerRoman"/>
      <w:lvlText w:val="%3."/>
      <w:lvlJc w:val="right"/>
      <w:pPr>
        <w:ind w:left="2160" w:hanging="180"/>
      </w:pPr>
    </w:lvl>
    <w:lvl w:ilvl="3" w:tplc="B220F882">
      <w:start w:val="1"/>
      <w:numFmt w:val="decimal"/>
      <w:lvlText w:val="%4."/>
      <w:lvlJc w:val="left"/>
      <w:pPr>
        <w:ind w:left="2880" w:hanging="360"/>
      </w:pPr>
    </w:lvl>
    <w:lvl w:ilvl="4" w:tplc="3FA89262">
      <w:start w:val="1"/>
      <w:numFmt w:val="lowerLetter"/>
      <w:lvlText w:val="%5."/>
      <w:lvlJc w:val="left"/>
      <w:pPr>
        <w:ind w:left="3600" w:hanging="360"/>
      </w:pPr>
    </w:lvl>
    <w:lvl w:ilvl="5" w:tplc="4D82D3A0">
      <w:start w:val="1"/>
      <w:numFmt w:val="lowerRoman"/>
      <w:lvlText w:val="%6."/>
      <w:lvlJc w:val="right"/>
      <w:pPr>
        <w:ind w:left="4320" w:hanging="180"/>
      </w:pPr>
    </w:lvl>
    <w:lvl w:ilvl="6" w:tplc="267A8390">
      <w:start w:val="1"/>
      <w:numFmt w:val="decimal"/>
      <w:lvlText w:val="%7."/>
      <w:lvlJc w:val="left"/>
      <w:pPr>
        <w:ind w:left="5040" w:hanging="360"/>
      </w:pPr>
    </w:lvl>
    <w:lvl w:ilvl="7" w:tplc="AE323BA2">
      <w:start w:val="1"/>
      <w:numFmt w:val="lowerLetter"/>
      <w:lvlText w:val="%8."/>
      <w:lvlJc w:val="left"/>
      <w:pPr>
        <w:ind w:left="5760" w:hanging="360"/>
      </w:pPr>
    </w:lvl>
    <w:lvl w:ilvl="8" w:tplc="181AF094">
      <w:start w:val="1"/>
      <w:numFmt w:val="lowerRoman"/>
      <w:lvlText w:val="%9."/>
      <w:lvlJc w:val="right"/>
      <w:pPr>
        <w:ind w:left="6480" w:hanging="180"/>
      </w:pPr>
    </w:lvl>
  </w:abstractNum>
  <w:abstractNum w:abstractNumId="5" w15:restartNumberingAfterBreak="0">
    <w:nsid w:val="46022D52"/>
    <w:multiLevelType w:val="hybridMultilevel"/>
    <w:tmpl w:val="75A81748"/>
    <w:lvl w:ilvl="0" w:tplc="9B1AA108">
      <w:start w:val="1"/>
      <w:numFmt w:val="decimal"/>
      <w:lvlText w:val="%1."/>
      <w:lvlJc w:val="left"/>
      <w:pPr>
        <w:ind w:left="720" w:hanging="360"/>
      </w:pPr>
    </w:lvl>
    <w:lvl w:ilvl="1" w:tplc="4A0049BE">
      <w:start w:val="1"/>
      <w:numFmt w:val="lowerLetter"/>
      <w:lvlText w:val="%2."/>
      <w:lvlJc w:val="left"/>
      <w:pPr>
        <w:ind w:left="1440" w:hanging="360"/>
      </w:pPr>
    </w:lvl>
    <w:lvl w:ilvl="2" w:tplc="7F7659F6">
      <w:start w:val="1"/>
      <w:numFmt w:val="lowerRoman"/>
      <w:lvlText w:val="%3."/>
      <w:lvlJc w:val="right"/>
      <w:pPr>
        <w:ind w:left="2160" w:hanging="180"/>
      </w:pPr>
    </w:lvl>
    <w:lvl w:ilvl="3" w:tplc="C804C59E">
      <w:start w:val="1"/>
      <w:numFmt w:val="decimal"/>
      <w:lvlText w:val="%4."/>
      <w:lvlJc w:val="left"/>
      <w:pPr>
        <w:ind w:left="2880" w:hanging="360"/>
      </w:pPr>
    </w:lvl>
    <w:lvl w:ilvl="4" w:tplc="BC26A582">
      <w:start w:val="1"/>
      <w:numFmt w:val="lowerLetter"/>
      <w:lvlText w:val="%5."/>
      <w:lvlJc w:val="left"/>
      <w:pPr>
        <w:ind w:left="3600" w:hanging="360"/>
      </w:pPr>
    </w:lvl>
    <w:lvl w:ilvl="5" w:tplc="D85A7D3C">
      <w:start w:val="1"/>
      <w:numFmt w:val="lowerRoman"/>
      <w:lvlText w:val="%6."/>
      <w:lvlJc w:val="right"/>
      <w:pPr>
        <w:ind w:left="4320" w:hanging="180"/>
      </w:pPr>
    </w:lvl>
    <w:lvl w:ilvl="6" w:tplc="E9AAB93A">
      <w:start w:val="1"/>
      <w:numFmt w:val="decimal"/>
      <w:lvlText w:val="%7."/>
      <w:lvlJc w:val="left"/>
      <w:pPr>
        <w:ind w:left="5040" w:hanging="360"/>
      </w:pPr>
    </w:lvl>
    <w:lvl w:ilvl="7" w:tplc="66F8B690">
      <w:start w:val="1"/>
      <w:numFmt w:val="lowerLetter"/>
      <w:lvlText w:val="%8."/>
      <w:lvlJc w:val="left"/>
      <w:pPr>
        <w:ind w:left="5760" w:hanging="360"/>
      </w:pPr>
    </w:lvl>
    <w:lvl w:ilvl="8" w:tplc="4C94537C">
      <w:start w:val="1"/>
      <w:numFmt w:val="lowerRoman"/>
      <w:lvlText w:val="%9."/>
      <w:lvlJc w:val="right"/>
      <w:pPr>
        <w:ind w:left="6480" w:hanging="180"/>
      </w:pPr>
    </w:lvl>
  </w:abstractNum>
  <w:abstractNum w:abstractNumId="6"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7"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96365777">
    <w:abstractNumId w:val="4"/>
  </w:num>
  <w:num w:numId="2" w16cid:durableId="2140805658">
    <w:abstractNumId w:val="5"/>
  </w:num>
  <w:num w:numId="3" w16cid:durableId="1694838286">
    <w:abstractNumId w:val="3"/>
  </w:num>
  <w:num w:numId="4" w16cid:durableId="410081641">
    <w:abstractNumId w:val="9"/>
  </w:num>
  <w:num w:numId="5" w16cid:durableId="1550385321">
    <w:abstractNumId w:val="0"/>
  </w:num>
  <w:num w:numId="6" w16cid:durableId="815150107">
    <w:abstractNumId w:val="6"/>
  </w:num>
  <w:num w:numId="7" w16cid:durableId="944771457">
    <w:abstractNumId w:val="7"/>
  </w:num>
  <w:num w:numId="8" w16cid:durableId="1145658634">
    <w:abstractNumId w:val="1"/>
  </w:num>
  <w:num w:numId="9" w16cid:durableId="1314288241">
    <w:abstractNumId w:val="8"/>
  </w:num>
  <w:num w:numId="10" w16cid:durableId="1442082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B65B1"/>
    <w:rsid w:val="00AE1501"/>
    <w:rsid w:val="00E8770E"/>
    <w:rsid w:val="00EB22F2"/>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8DD322A"/>
    <w:rsid w:val="097BB9A6"/>
    <w:rsid w:val="098EDB6B"/>
    <w:rsid w:val="09CF7D4B"/>
    <w:rsid w:val="0A746DF5"/>
    <w:rsid w:val="0BA1A78E"/>
    <w:rsid w:val="0BC71F0C"/>
    <w:rsid w:val="0C3F5C4B"/>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7D68851"/>
    <w:rsid w:val="181E00E4"/>
    <w:rsid w:val="1A958B90"/>
    <w:rsid w:val="1BAEF82B"/>
    <w:rsid w:val="1BF42667"/>
    <w:rsid w:val="1C7C015E"/>
    <w:rsid w:val="1C9401C9"/>
    <w:rsid w:val="1CA9D28F"/>
    <w:rsid w:val="1CBC480A"/>
    <w:rsid w:val="1D5AFCFA"/>
    <w:rsid w:val="1E17AA5F"/>
    <w:rsid w:val="1E2C2E2E"/>
    <w:rsid w:val="1EE7ECB8"/>
    <w:rsid w:val="1F031341"/>
    <w:rsid w:val="1F594C84"/>
    <w:rsid w:val="1F5AC4EF"/>
    <w:rsid w:val="2009BFA8"/>
    <w:rsid w:val="204690CC"/>
    <w:rsid w:val="2254988D"/>
    <w:rsid w:val="229A657E"/>
    <w:rsid w:val="22BA1BC4"/>
    <w:rsid w:val="2388EA9D"/>
    <w:rsid w:val="23AE78E9"/>
    <w:rsid w:val="244F1D1D"/>
    <w:rsid w:val="24CA684F"/>
    <w:rsid w:val="2568DF5D"/>
    <w:rsid w:val="25926FD4"/>
    <w:rsid w:val="260B64FF"/>
    <w:rsid w:val="267D8E04"/>
    <w:rsid w:val="27C60384"/>
    <w:rsid w:val="283E1589"/>
    <w:rsid w:val="2855F80F"/>
    <w:rsid w:val="2949F11A"/>
    <w:rsid w:val="29D9FBC7"/>
    <w:rsid w:val="2A638A97"/>
    <w:rsid w:val="2B88BA34"/>
    <w:rsid w:val="2C55D764"/>
    <w:rsid w:val="2C6425EF"/>
    <w:rsid w:val="2D639D69"/>
    <w:rsid w:val="2D7C949F"/>
    <w:rsid w:val="2D90C264"/>
    <w:rsid w:val="2F320534"/>
    <w:rsid w:val="2FB92741"/>
    <w:rsid w:val="30AE5F0C"/>
    <w:rsid w:val="3195D8B0"/>
    <w:rsid w:val="31BE801D"/>
    <w:rsid w:val="3218931D"/>
    <w:rsid w:val="324E8067"/>
    <w:rsid w:val="3293BD52"/>
    <w:rsid w:val="3407CEF4"/>
    <w:rsid w:val="3438D40E"/>
    <w:rsid w:val="34629DEA"/>
    <w:rsid w:val="353C5315"/>
    <w:rsid w:val="36498AD1"/>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43E980A"/>
    <w:rsid w:val="4530C408"/>
    <w:rsid w:val="45EAB841"/>
    <w:rsid w:val="46389965"/>
    <w:rsid w:val="468CBCDE"/>
    <w:rsid w:val="46FCEC83"/>
    <w:rsid w:val="4757D2EB"/>
    <w:rsid w:val="48460247"/>
    <w:rsid w:val="499A2F52"/>
    <w:rsid w:val="49A9FD0B"/>
    <w:rsid w:val="4BA11FA4"/>
    <w:rsid w:val="4CDF1496"/>
    <w:rsid w:val="4D0133A9"/>
    <w:rsid w:val="4D32F7AE"/>
    <w:rsid w:val="4D453469"/>
    <w:rsid w:val="4EAE2CCC"/>
    <w:rsid w:val="4F6B8AC9"/>
    <w:rsid w:val="519527AF"/>
    <w:rsid w:val="52686D19"/>
    <w:rsid w:val="52728610"/>
    <w:rsid w:val="52B0F704"/>
    <w:rsid w:val="52FC6581"/>
    <w:rsid w:val="531B4095"/>
    <w:rsid w:val="5363A6F5"/>
    <w:rsid w:val="5403FDE4"/>
    <w:rsid w:val="54306EF5"/>
    <w:rsid w:val="54A46CAC"/>
    <w:rsid w:val="54DB2F34"/>
    <w:rsid w:val="5521AB01"/>
    <w:rsid w:val="5545D2C2"/>
    <w:rsid w:val="56711F2C"/>
    <w:rsid w:val="56EC2D27"/>
    <w:rsid w:val="56EFFF47"/>
    <w:rsid w:val="59C62F89"/>
    <w:rsid w:val="5A97A40D"/>
    <w:rsid w:val="5AF4B7B0"/>
    <w:rsid w:val="5B014E2A"/>
    <w:rsid w:val="5B156DBB"/>
    <w:rsid w:val="5B65093A"/>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F531B2"/>
    <w:rsid w:val="74B89BA9"/>
    <w:rsid w:val="7571EF55"/>
    <w:rsid w:val="761BDADE"/>
    <w:rsid w:val="7625C9DC"/>
    <w:rsid w:val="7778C040"/>
    <w:rsid w:val="77C00DFC"/>
    <w:rsid w:val="77C483DE"/>
    <w:rsid w:val="7875EDB6"/>
    <w:rsid w:val="78D99F45"/>
    <w:rsid w:val="78E0D81C"/>
    <w:rsid w:val="7906B4C0"/>
    <w:rsid w:val="791CE681"/>
    <w:rsid w:val="79325022"/>
    <w:rsid w:val="7A5A042A"/>
    <w:rsid w:val="7B2562A4"/>
    <w:rsid w:val="7C311D5A"/>
    <w:rsid w:val="7CABAE9A"/>
    <w:rsid w:val="7D845445"/>
    <w:rsid w:val="7DCC3C24"/>
    <w:rsid w:val="7DE05F7C"/>
    <w:rsid w:val="7DE77875"/>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d8c265a-5436-43a7-80c1-713d2827ffde"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441ebde5b9e3d16aa99d9908d0dbf004">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352adc415c599429645df7ef9ab5c94"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Props1.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2.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3.xml><?xml version="1.0" encoding="utf-8"?>
<ds:datastoreItem xmlns:ds="http://schemas.openxmlformats.org/officeDocument/2006/customXml" ds:itemID="{08F0754E-65CD-4DC9-9076-53F17275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06e0a-10ec-4166-b6be-f571e59f2ad8"/>
    <ds:schemaRef ds:uri="1829e0bb-752b-41d1-afe6-cd432e54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Caitlin Grady</cp:lastModifiedBy>
  <cp:revision>10</cp:revision>
  <dcterms:created xsi:type="dcterms:W3CDTF">2025-06-10T03:09:00Z</dcterms:created>
  <dcterms:modified xsi:type="dcterms:W3CDTF">2026-06-02T18:59:00Z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