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770E" w:rsidR="54A46CAC" w:rsidP="5521AB01" w:rsidRDefault="54A46CAC" w14:paraId="38C97714" w14:textId="3CE2E5C4">
      <w:pPr>
        <w:pStyle w:val="Heading1"/>
        <w:spacing w:before="33"/>
        <w:ind w:end="1"/>
        <w:jc w:val="center"/>
        <w:rPr>
          <w:rFonts w:ascii="Calibri" w:hAnsi="Calibri" w:eastAsia="Calibri" w:cs="Calibri"/>
          <w:b/>
          <w:bCs/>
          <w:color w:val="000000" w:themeColor="text1"/>
          <w:sz w:val="22"/>
          <w:szCs w:val="22"/>
          <w:u w:val="single"/>
        </w:rPr>
      </w:pPr>
      <w:r w:rsidRPr="00E8770E">
        <w:rPr>
          <w:rFonts w:ascii="Calibri" w:hAnsi="Calibri" w:eastAsia="Calibri" w:cs="Calibri"/>
          <w:b/>
          <w:bCs/>
          <w:color w:val="000000" w:themeColor="text1"/>
          <w:sz w:val="22"/>
          <w:szCs w:val="22"/>
          <w:u w:val="single"/>
        </w:rPr>
        <w:t xml:space="preserve">FWG</w:t>
      </w:r>
      <w:r w:rsidRPr="00E8770E" w:rsidR="6C955C66">
        <w:rPr>
          <w:rFonts w:ascii="Calibri" w:hAnsi="Calibri" w:eastAsia="Calibri" w:cs="Calibri"/>
          <w:b/>
          <w:bCs/>
          <w:color w:val="000000" w:themeColor="text1"/>
          <w:sz w:val="22"/>
          <w:szCs w:val="22"/>
          <w:u w:val="single"/>
        </w:rPr>
        <w:t xml:space="preserve"> 14 </w:t>
      </w:r>
      <w:r w:rsidRPr="00E8770E">
        <w:rPr>
          <w:rFonts w:ascii="Calibri" w:hAnsi="Calibri" w:eastAsia="Calibri" w:cs="Calibri"/>
          <w:b/>
          <w:bCs/>
          <w:color w:val="000000" w:themeColor="text1"/>
          <w:sz w:val="22"/>
          <w:szCs w:val="22"/>
          <w:u w:val="single"/>
        </w:rPr>
        <w:t xml:space="preserve">– </w:t>
      </w:r>
      <w:r w:rsidRPr="00E8770E" w:rsidR="2388EA9D">
        <w:rPr>
          <w:rFonts w:ascii="Calibri" w:hAnsi="Calibri" w:eastAsia="Calibri" w:cs="Calibri"/>
          <w:b/>
          <w:bCs/>
          <w:color w:val="000000" w:themeColor="text1"/>
          <w:sz w:val="22"/>
          <w:szCs w:val="22"/>
          <w:u w:val="single"/>
        </w:rPr>
        <w:t xml:space="preserve">Notes </w:t>
      </w:r>
      <w:r w:rsidRPr="00E8770E">
        <w:rPr>
          <w:rFonts w:ascii="Calibri" w:hAnsi="Calibri" w:eastAsia="Calibri" w:cs="Calibri"/>
          <w:b/>
          <w:bCs/>
          <w:color w:val="000000" w:themeColor="text1"/>
          <w:sz w:val="22"/>
          <w:szCs w:val="22"/>
          <w:u w:val="single"/>
        </w:rPr>
        <w:t xml:space="preserve">sur les discussions</w:t>
      </w:r>
      <w:r w:rsidRPr="00E8770E">
        <w:rPr>
          <w:rFonts w:ascii="Calibri" w:hAnsi="Calibri" w:eastAsia="Calibri" w:cs="Calibri"/>
          <w:b/>
          <w:bCs/>
          <w:color w:val="000000" w:themeColor="text1"/>
          <w:sz w:val="22"/>
          <w:szCs w:val="22"/>
          <w:u w:val="single"/>
        </w:rPr>
        <w:t xml:space="preserve"> en </w:t>
      </w:r>
      <w:r w:rsidRPr="00E8770E" w:rsidR="3CC8495B">
        <w:rPr>
          <w:rFonts w:ascii="Calibri" w:hAnsi="Calibri" w:eastAsia="Calibri" w:cs="Calibri"/>
          <w:b/>
          <w:bCs/>
          <w:color w:val="000000" w:themeColor="text1"/>
          <w:sz w:val="22"/>
          <w:szCs w:val="22"/>
          <w:u w:val="single"/>
        </w:rPr>
        <w:t xml:space="preserve">petits </w:t>
      </w:r>
      <w:r w:rsidRPr="00E8770E">
        <w:rPr>
          <w:rFonts w:ascii="Calibri" w:hAnsi="Calibri" w:eastAsia="Calibri" w:cs="Calibri"/>
          <w:b/>
          <w:bCs/>
          <w:color w:val="000000" w:themeColor="text1"/>
          <w:sz w:val="22"/>
          <w:szCs w:val="22"/>
          <w:u w:val="single"/>
        </w:rPr>
        <w:t xml:space="preserve">groupes</w:t>
      </w:r>
    </w:p>
    <w:p w:rsidR="036B41D6" w:rsidP="5521AB01" w:rsidRDefault="65D7876C" w14:paraId="0B9A2903" w14:textId="30E3A52C">
      <w:pPr>
        <w:pStyle w:val="NoSpacing"/>
        <w:jc w:val="center"/>
        <w:rPr>
          <w:rFonts w:ascii="Calibri" w:hAnsi="Calibri" w:eastAsia="Calibri" w:cs="Calibri"/>
          <w:color w:val="000000" w:themeColor="text1"/>
          <w:sz w:val="22"/>
          <w:szCs w:val="22"/>
        </w:rPr>
      </w:pPr>
      <w:r w:rsidRPr="5521AB01">
        <w:rPr>
          <w:rFonts w:ascii="Calibri" w:hAnsi="Calibri" w:eastAsia="Calibri" w:cs="Calibri"/>
          <w:color w:val="000000" w:themeColor="text1"/>
          <w:sz w:val="22"/>
          <w:szCs w:val="22"/>
        </w:rPr>
        <w:t xml:space="preserve">Jour 2 :</w:t>
      </w:r>
      <w:r w:rsidRPr="5521AB01" w:rsidR="43E61C40">
        <w:rPr>
          <w:rFonts w:ascii="Calibri" w:hAnsi="Calibri" w:eastAsia="Calibri" w:cs="Calibri"/>
          <w:color w:val="000000" w:themeColor="text1"/>
          <w:sz w:val="22"/>
          <w:szCs w:val="22"/>
        </w:rPr>
        <w:t xml:space="preserve"> 5 </w:t>
      </w:r>
      <w:r w:rsidRPr="5521AB01" w:rsidR="7625C9DC">
        <w:rPr>
          <w:rFonts w:ascii="Calibri" w:hAnsi="Calibri" w:eastAsia="Calibri" w:cs="Calibri"/>
          <w:color w:val="000000" w:themeColor="text1"/>
          <w:sz w:val="22"/>
          <w:szCs w:val="22"/>
        </w:rPr>
        <w:t xml:space="preserve">novembre</w:t>
      </w:r>
      <w:r w:rsidRPr="5521AB01" w:rsidR="34629DEA">
        <w:rPr>
          <w:rFonts w:ascii="Calibri" w:hAnsi="Calibri" w:eastAsia="Calibri" w:cs="Calibri"/>
          <w:color w:val="000000" w:themeColor="text1"/>
          <w:sz w:val="22"/>
          <w:szCs w:val="22"/>
        </w:rPr>
        <w:t xml:space="preserve"> 2025</w:t>
      </w:r>
    </w:p>
    <w:p w:rsidR="00AE1501" w:rsidP="5521AB01" w:rsidRDefault="00AE1501" w14:paraId="3A22E26C" w14:textId="77777777">
      <w:pPr>
        <w:pStyle w:val="NoSpacing"/>
        <w:jc w:val="center"/>
        <w:rPr>
          <w:rFonts w:ascii="Calibri" w:hAnsi="Calibri" w:eastAsia="Calibri" w:cs="Calibr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
      <w:tblGrid>
        <w:gridCol w:w="9000"/>
      </w:tblGrid>
      <w:tr w:rsidR="00AE1501" w:rsidTr="00AE1501" w14:paraId="6E73E82B" w14:textId="77777777">
        <w:trPr>
          <w:trHeight w:val="300"/>
        </w:trPr>
        <w:tc>
          <w:tcPr>
            <w:tcW w:w="9000" w:type="dxa"/>
            <w:tcMar>
              <w:left w:w="105" w:type="dxa"/>
              <w:right w:w="105" w:type="dxa"/>
            </w:tcMar>
          </w:tcPr>
          <w:p w:rsidR="00AE1501" w:rsidP="004D2F6E" w:rsidRDefault="00AE1501" w14:paraId="70FB297F" w14:textId="77777777">
            <w:pPr>
              <w:rPr>
                <w:rFonts w:ascii="Calibri" w:hAnsi="Calibri" w:eastAsia="Calibri" w:cs="Calibri"/>
                <w:sz w:val="22"/>
                <w:szCs w:val="22"/>
              </w:rPr>
            </w:pPr>
            <w:r w:rsidRPr="54306EF5">
              <w:rPr>
                <w:rFonts w:ascii="Calibri" w:hAnsi="Calibri" w:eastAsia="Calibri" w:cs="Calibri"/>
                <w:b/>
                <w:bCs/>
                <w:sz w:val="22"/>
                <w:szCs w:val="22"/>
              </w:rPr>
              <w:t xml:space="preserve">Nom du groupe : </w:t>
            </w:r>
          </w:p>
        </w:tc>
      </w:tr>
      <w:tr w:rsidR="00AE1501" w:rsidTr="00AE1501" w14:paraId="330196CD" w14:textId="77777777">
        <w:trPr>
          <w:trHeight w:val="300"/>
        </w:trPr>
        <w:tc>
          <w:tcPr>
            <w:tcW w:w="9000" w:type="dxa"/>
            <w:tcMar>
              <w:left w:w="105" w:type="dxa"/>
              <w:right w:w="105" w:type="dxa"/>
            </w:tcMar>
          </w:tcPr>
          <w:p w:rsidR="00AE1501" w:rsidP="004D2F6E" w:rsidRDefault="00AE1501" w14:paraId="6F9E9D33" w14:textId="77777777">
            <w:pPr>
              <w:rPr>
                <w:rFonts w:ascii="Calibri" w:hAnsi="Calibri" w:eastAsia="Calibri" w:cs="Calibri"/>
                <w:sz w:val="22"/>
                <w:szCs w:val="22"/>
              </w:rPr>
            </w:pPr>
            <w:r w:rsidRPr="54306EF5">
              <w:rPr>
                <w:rFonts w:ascii="Calibri" w:hAnsi="Calibri" w:eastAsia="Calibri" w:cs="Calibri"/>
                <w:sz w:val="22"/>
                <w:szCs w:val="22"/>
              </w:rPr>
              <w:t xml:space="preserve">Modérateurs :</w:t>
            </w:r>
          </w:p>
        </w:tc>
      </w:tr>
      <w:tr w:rsidR="00AE1501" w:rsidTr="00AE1501" w14:paraId="14C65107" w14:textId="77777777">
        <w:trPr>
          <w:trHeight w:val="300"/>
        </w:trPr>
        <w:tc>
          <w:tcPr>
            <w:tcW w:w="9000" w:type="dxa"/>
            <w:tcMar>
              <w:left w:w="105" w:type="dxa"/>
              <w:right w:w="105" w:type="dxa"/>
            </w:tcMar>
          </w:tcPr>
          <w:p w:rsidR="00AE1501" w:rsidP="004D2F6E" w:rsidRDefault="00AE1501" w14:paraId="5F031841" w14:textId="77777777">
            <w:pPr>
              <w:rPr>
                <w:rFonts w:ascii="Calibri" w:hAnsi="Calibri" w:eastAsia="Calibri" w:cs="Calibri"/>
                <w:sz w:val="22"/>
                <w:szCs w:val="22"/>
              </w:rPr>
            </w:pPr>
            <w:r w:rsidRPr="54306EF5">
              <w:rPr>
                <w:rFonts w:ascii="Calibri" w:hAnsi="Calibri" w:eastAsia="Calibri" w:cs="Calibri"/>
                <w:sz w:val="22"/>
                <w:szCs w:val="22"/>
              </w:rPr>
              <w:t xml:space="preserve">Prise de notes :</w:t>
            </w:r>
          </w:p>
        </w:tc>
      </w:tr>
    </w:tbl>
    <w:p w:rsidR="007B65B1" w:rsidP="5521AB01" w:rsidRDefault="007B65B1" w14:paraId="65441689" w14:textId="0D38CB56">
      <w:pPr>
        <w:pStyle w:val="NoSpacing"/>
        <w:rPr>
          <w:rFonts w:ascii="Calibri" w:hAnsi="Calibri" w:eastAsia="Calibri" w:cs="Calibri"/>
          <w:color w:val="000000" w:themeColor="text1"/>
          <w:sz w:val="22"/>
          <w:szCs w:val="22"/>
        </w:rPr>
      </w:pPr>
    </w:p>
    <w:p w:rsidR="007B65B1" w:rsidP="380280F8" w:rsidRDefault="68C175C9" w14:paraId="135140AD" w14:textId="59D85913">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t xml:space="preserve">Approche collective 1 : rassemblement des détenteurs de connaissances</w:t>
      </w:r>
    </w:p>
    <w:p w:rsidR="007B65B1" w:rsidP="380280F8" w:rsidRDefault="68C175C9" w14:paraId="67D0A1D1" w14:textId="2D8E8838">
      <w:pPr>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Cette approche crée un cycle annuel qui commence par réunir les détenteurs de connaissances afin qu'ils échangent leurs expériences, leurs visions du monde, leurs récits et leurs pratiques. Les résultats de ces rassemblements alimentent des dialogues inclusifs avec les peuples autochtones, les communautés locales, les Parties, les organes constitués et les autres contributeurs à la LCIPP. Une réunion d'information informelle est également organisée afin de renforcer la capacité des peuples autochtones et des communautés locales à participer de manière significative aux sessions de la COP. Les principaux résultats attendus comprennent un rapport de synthèse qui documente les discussions, les recommandations et les possibilités d'engagement, ainsi que des études de cas compilées sous divers formats. Les résultats, y compris les études de cas et les recommandations, seront intégrés dans les </w:t>
      </w:r>
      <w:r w:rsidRPr="380280F8">
        <w:rPr>
          <w:rFonts w:ascii="Calibri" w:hAnsi="Calibri" w:eastAsia="Calibri" w:cs="Calibri"/>
          <w:color w:val="000000" w:themeColor="text1"/>
          <w:sz w:val="22"/>
          <w:szCs w:val="22"/>
        </w:rPr>
        <w:t xml:space="preserve">axes de travail</w:t>
      </w:r>
      <w:r w:rsidRPr="380280F8">
        <w:rPr>
          <w:rFonts w:ascii="Calibri" w:hAnsi="Calibri" w:eastAsia="Calibri" w:cs="Calibri"/>
          <w:color w:val="000000" w:themeColor="text1"/>
          <w:sz w:val="22"/>
          <w:szCs w:val="22"/>
        </w:rPr>
        <w:t xml:space="preserve"> pertinents </w:t>
      </w:r>
      <w:r w:rsidRPr="380280F8">
        <w:rPr>
          <w:rFonts w:ascii="Calibri" w:hAnsi="Calibri" w:eastAsia="Calibri" w:cs="Calibri"/>
          <w:color w:val="000000" w:themeColor="text1"/>
          <w:sz w:val="22"/>
          <w:szCs w:val="22"/>
        </w:rPr>
        <w:t xml:space="preserve"> de </w:t>
      </w:r>
      <w:r w:rsidRPr="380280F8">
        <w:rPr>
          <w:rFonts w:ascii="Calibri" w:hAnsi="Calibri" w:eastAsia="Calibri" w:cs="Calibri"/>
          <w:color w:val="000000" w:themeColor="text1"/>
          <w:sz w:val="22"/>
          <w:szCs w:val="22"/>
        </w:rPr>
        <w:t xml:space="preserve">la CCNUCC, en fonction du ou des thèmes annuels du LCIPP.  </w:t>
      </w:r>
    </w:p>
    <w:p w:rsidR="00AE1501" w:rsidP="380280F8" w:rsidRDefault="00AE1501" w14:paraId="27E29CF2" w14:textId="77777777">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136DBB00" w14:textId="77777777">
        <w:trPr>
          <w:trHeight w:val="300"/>
        </w:trPr>
        <w:tc>
          <w:tcPr>
            <w:tcW w:w="9000" w:type="dxa"/>
            <w:gridSpan w:val="2"/>
            <w:shd w:val="clear" w:color="auto" w:fill="E2EFD9"/>
            <w:tcMar>
              <w:left w:w="105" w:type="dxa"/>
              <w:right w:w="105" w:type="dxa"/>
            </w:tcMar>
          </w:tcPr>
          <w:p w:rsidR="00AE1501" w:rsidP="004D2F6E" w:rsidRDefault="00AE1501" w14:paraId="19E2045D" w14:textId="77777777">
            <w:pPr>
              <w:rPr>
                <w:rFonts w:ascii="Calibri" w:hAnsi="Calibri" w:eastAsia="Calibri" w:cs="Calibri"/>
                <w:sz w:val="22"/>
                <w:szCs w:val="22"/>
              </w:rPr>
            </w:pPr>
            <w:r w:rsidRPr="23AE78E9">
              <w:rPr>
                <w:rFonts w:ascii="Calibri" w:hAnsi="Calibri" w:eastAsia="Calibri" w:cs="Calibri"/>
                <w:b/>
                <w:bCs/>
                <w:sz w:val="22"/>
                <w:szCs w:val="22"/>
              </w:rPr>
              <w:t xml:space="preserve">Questions directrices : </w:t>
            </w:r>
          </w:p>
          <w:p w:rsidR="00AE1501" w:rsidP="004D2F6E" w:rsidRDefault="00AE1501" w14:paraId="0ECE2C65" w14:textId="77777777">
            <w:pPr>
              <w:rPr>
                <w:rFonts w:ascii="Calibri" w:hAnsi="Calibri" w:eastAsia="Calibri" w:cs="Calibri"/>
                <w:b/>
                <w:bCs/>
                <w:sz w:val="22"/>
                <w:szCs w:val="22"/>
              </w:rPr>
            </w:pPr>
          </w:p>
          <w:p w:rsidR="00AE1501" w:rsidP="004D2F6E" w:rsidRDefault="00AE1501" w14:paraId="1689D28B"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Approche collective 1 : rassemblement des détenteurs de connaissances</w:t>
            </w:r>
          </w:p>
          <w:p w:rsidR="00AE1501" w:rsidP="004D2F6E" w:rsidRDefault="00AE1501" w14:paraId="405EECA6" w14:textId="77777777">
            <w:pPr>
              <w:rPr>
                <w:rFonts w:ascii="Calibri" w:hAnsi="Calibri" w:eastAsia="Calibri" w:cs="Calibri"/>
                <w:sz w:val="22"/>
                <w:szCs w:val="22"/>
                <w:u w:val="single"/>
              </w:rPr>
            </w:pPr>
          </w:p>
          <w:p w:rsidRPr="00AE1501" w:rsidR="00AE1501" w:rsidP="004D2F6E" w:rsidRDefault="00AE1501" w14:paraId="14A96118"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Quels aspects du rassemblement annuel des détenteurs de connaissances du LCIPP ont bien fonctionné et comment améliorer l'inclusivité et la participation ?</w:t>
            </w:r>
          </w:p>
          <w:p w:rsidRPr="00AE1501" w:rsidR="00AE1501" w:rsidP="004D2F6E" w:rsidRDefault="00AE1501" w14:paraId="40FE7F74"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Quels sont les domaines thématiques qui ont eu le plus d'impact et lesquels pourraient être approfondis ou explorés davantage ?</w:t>
            </w:r>
          </w:p>
          <w:p w:rsidRPr="00AE1501" w:rsidR="00AE1501" w:rsidP="004D2F6E" w:rsidRDefault="00AE1501" w14:paraId="7E6C65A5" w14:textId="77777777">
            <w:pPr>
              <w:numPr>
                <w:ilvl w:val="0"/>
                <w:numId w:val="3"/>
              </w:numPr>
              <w:rPr>
                <w:rFonts w:ascii="Calibri" w:hAnsi="Calibri" w:eastAsia="Calibri" w:cs="Calibri"/>
                <w:sz w:val="22"/>
                <w:szCs w:val="22"/>
                <w:u w:val="single"/>
              </w:rPr>
            </w:pPr>
            <w:r w:rsidRPr="00AE1501">
              <w:rPr>
                <w:rFonts w:ascii="Calibri" w:hAnsi="Calibri" w:eastAsia="Calibri" w:cs="Calibri"/>
                <w:sz w:val="22"/>
                <w:szCs w:val="22"/>
              </w:rPr>
              <w:t xml:space="preserve">Comment ces rassemblements ont-ils contribué aux travaux de la CCNUCC et quelles priorités clés devraient être mises en avant en 2026-2027 ?</w:t>
            </w:r>
          </w:p>
          <w:p w:rsidR="00AE1501" w:rsidP="00AE1501" w:rsidRDefault="00AE1501" w14:paraId="0A4BA7B7" w14:textId="77777777">
            <w:pPr>
              <w:tabs>
                <w:tab w:val="left" w:pos="720"/>
              </w:tabs>
              <w:rPr>
                <w:rFonts w:ascii="Calibri" w:hAnsi="Calibri" w:eastAsia="Calibri" w:cs="Calibri"/>
                <w:sz w:val="22"/>
                <w:szCs w:val="22"/>
              </w:rPr>
            </w:pPr>
          </w:p>
        </w:tc>
      </w:tr>
      <w:tr w:rsidR="00AE1501" w:rsidTr="004D2F6E" w14:paraId="7CA8EA00" w14:textId="77777777">
        <w:trPr>
          <w:trHeight w:val="300"/>
        </w:trPr>
        <w:tc>
          <w:tcPr>
            <w:tcW w:w="4500" w:type="dxa"/>
            <w:tcMar>
              <w:left w:w="105" w:type="dxa"/>
              <w:right w:w="105" w:type="dxa"/>
            </w:tcMar>
          </w:tcPr>
          <w:p w:rsidR="00AE1501" w:rsidP="004D2F6E" w:rsidRDefault="00AE1501" w14:paraId="73ABA638" w14:textId="77777777">
            <w:r w:rsidRPr="5521AB01">
              <w:rPr>
                <w:rFonts w:ascii="Calibri" w:hAnsi="Calibri" w:eastAsia="Calibri" w:cs="Calibri"/>
                <w:sz w:val="22"/>
                <w:szCs w:val="22"/>
              </w:rPr>
              <w:t xml:space="preserve">Notes de travail : </w:t>
            </w:r>
            <w:r w:rsidRPr="5521AB01">
              <w:rPr>
                <w:rFonts w:ascii="Calibri" w:hAnsi="Calibri" w:eastAsia="Calibri" w:cs="Calibri"/>
                <w:b/>
                <w:bCs/>
                <w:sz w:val="22"/>
                <w:szCs w:val="22"/>
                <w:highlight w:val="yellow"/>
              </w:rPr>
              <w:t xml:space="preserve">Approche collective 1 </w:t>
            </w:r>
          </w:p>
          <w:p w:rsidR="00AE1501" w:rsidP="004D2F6E" w:rsidRDefault="00AE1501" w14:paraId="1B14AD87" w14:textId="77777777">
            <w:r w:rsidRPr="721EF3B2">
              <w:rPr>
                <w:rFonts w:ascii="Calibri" w:hAnsi="Calibri" w:eastAsia="Calibri" w:cs="Calibri"/>
                <w:sz w:val="22"/>
                <w:szCs w:val="22"/>
              </w:rPr>
            </w:r>
          </w:p>
          <w:p w:rsidR="00AE1501" w:rsidP="004D2F6E" w:rsidRDefault="00AE1501" w14:paraId="0351DF33" w14:textId="77777777">
            <w:pPr>
              <w:pStyle w:val="ListParagraph"/>
              <w:ind w:start="1080"/>
              <w:rPr>
                <w:rFonts w:ascii="Calibri" w:hAnsi="Calibri" w:eastAsia="Calibri" w:cs="Calibri"/>
                <w:sz w:val="22"/>
                <w:szCs w:val="22"/>
              </w:rPr>
            </w:pPr>
          </w:p>
          <w:p w:rsidR="00AE1501" w:rsidP="004D2F6E" w:rsidRDefault="00AE1501" w14:paraId="76EC621E"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6474624E" w14:textId="77777777">
            <w:pPr>
              <w:rPr>
                <w:rFonts w:ascii="Calibri" w:hAnsi="Calibri" w:eastAsia="Calibri" w:cs="Calibri"/>
                <w:sz w:val="22"/>
                <w:szCs w:val="22"/>
              </w:rPr>
            </w:pPr>
          </w:p>
          <w:p w:rsidR="00AE1501" w:rsidP="004D2F6E" w:rsidRDefault="00AE1501" w14:paraId="68D766EA" w14:textId="77777777"/>
          <w:p w:rsidR="00AE1501" w:rsidP="004D2F6E" w:rsidRDefault="00AE1501" w14:paraId="2FFF4F92" w14:textId="77777777"/>
          <w:p w:rsidR="00AE1501" w:rsidP="004D2F6E" w:rsidRDefault="00AE1501" w14:paraId="657D1AC0"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0B782047" w14:textId="77777777">
            <w:pPr>
              <w:rPr>
                <w:rFonts w:ascii="Calibri" w:hAnsi="Calibri" w:eastAsia="Calibri" w:cs="Calibri"/>
                <w:sz w:val="22"/>
                <w:szCs w:val="22"/>
              </w:rPr>
            </w:pPr>
            <w:r w:rsidRPr="5521AB01">
              <w:rPr>
                <w:rFonts w:ascii="Calibri" w:hAnsi="Calibri" w:eastAsia="Calibri" w:cs="Calibri"/>
                <w:sz w:val="22"/>
                <w:szCs w:val="22"/>
              </w:rPr>
              <w:t xml:space="preserve">Messages clés à retenir pour le rapport :</w:t>
            </w:r>
          </w:p>
          <w:p w:rsidR="00AE1501" w:rsidP="004D2F6E" w:rsidRDefault="00AE1501" w14:paraId="1A7B062F" w14:textId="77777777">
            <w:pPr>
              <w:rPr>
                <w:rFonts w:ascii="Calibri" w:hAnsi="Calibri" w:eastAsia="Calibri" w:cs="Calibri"/>
                <w:sz w:val="22"/>
                <w:szCs w:val="22"/>
              </w:rPr>
            </w:pPr>
          </w:p>
        </w:tc>
      </w:tr>
      <w:tr w:rsidR="00AE1501" w:rsidTr="00AE1501" w14:paraId="5121A60B" w14:textId="77777777">
        <w:trPr>
          <w:trHeight w:val="300"/>
        </w:trPr>
        <w:tc>
          <w:tcPr>
            <w:tcW w:w="9000" w:type="dxa"/>
            <w:gridSpan w:val="2"/>
            <w:shd w:val="clear" w:color="auto" w:fill="D1D1D1" w:themeFill="background2" w:themeFillShade="E6"/>
            <w:tcMar>
              <w:left w:w="105" w:type="dxa"/>
              <w:right w:w="105" w:type="dxa"/>
            </w:tcMar>
          </w:tcPr>
          <w:p w:rsidR="00AE1501" w:rsidP="00AE1501" w:rsidRDefault="00AE1501" w14:paraId="42BD261C"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Informations supplémentaires importantes partagées :</w:t>
            </w:r>
          </w:p>
          <w:p w:rsidRPr="5521AB01" w:rsidR="00AE1501" w:rsidP="00AE1501" w:rsidRDefault="00AE1501" w14:paraId="798A7E71" w14:textId="6D6BDC7B">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Exemples de cas importants (</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visions du monde et politiques spécifiques liées aux peuples autochtones et aux communautés locales), possibilités de collaboration, recommandations, défis, etc.</w:t>
            </w:r>
          </w:p>
        </w:tc>
      </w:tr>
      <w:tr w:rsidR="00AE1501" w:rsidTr="0003560B" w14:paraId="04C6500C" w14:textId="77777777">
        <w:trPr>
          <w:trHeight w:val="300"/>
        </w:trPr>
        <w:tc>
          <w:tcPr>
            <w:tcW w:w="9000" w:type="dxa"/>
            <w:gridSpan w:val="2"/>
            <w:tcMar>
              <w:left w:w="105" w:type="dxa"/>
              <w:right w:w="105" w:type="dxa"/>
            </w:tcMar>
          </w:tcPr>
          <w:p w:rsidR="00AE1501" w:rsidP="00AE1501" w:rsidRDefault="00AE1501" w14:paraId="4AFDD67C" w14:textId="77777777">
            <w:pPr>
              <w:rPr>
                <w:rFonts w:ascii="Calibri" w:hAnsi="Calibri" w:eastAsia="Calibri" w:cs="Calibri"/>
                <w:color w:val="000000" w:themeColor="text1"/>
                <w:sz w:val="22"/>
                <w:szCs w:val="22"/>
              </w:rPr>
            </w:pPr>
          </w:p>
          <w:p w:rsidR="00AE1501" w:rsidP="00AE1501" w:rsidRDefault="00AE1501" w14:paraId="071A4012" w14:textId="77777777">
            <w:pPr>
              <w:jc w:val="center"/>
              <w:rPr>
                <w:rFonts w:ascii="Calibri" w:hAnsi="Calibri" w:eastAsia="Calibri" w:cs="Calibri"/>
                <w:color w:val="000000" w:themeColor="text1"/>
                <w:sz w:val="22"/>
                <w:szCs w:val="22"/>
              </w:rPr>
            </w:pPr>
          </w:p>
          <w:p w:rsidR="00AE1501" w:rsidP="00AE1501" w:rsidRDefault="00AE1501" w14:paraId="1518B108" w14:textId="77777777">
            <w:pPr>
              <w:jc w:val="center"/>
              <w:rPr>
                <w:rFonts w:ascii="Calibri" w:hAnsi="Calibri" w:eastAsia="Calibri" w:cs="Calibri"/>
                <w:color w:val="000000" w:themeColor="text1"/>
                <w:sz w:val="22"/>
                <w:szCs w:val="22"/>
              </w:rPr>
            </w:pPr>
          </w:p>
          <w:p w:rsidRPr="5521AB01" w:rsidR="00AE1501" w:rsidP="00AE1501" w:rsidRDefault="00AE1501" w14:paraId="0BDBA7F0" w14:textId="77777777">
            <w:pPr>
              <w:rPr>
                <w:rFonts w:ascii="Calibri" w:hAnsi="Calibri" w:eastAsia="Calibri" w:cs="Calibri"/>
                <w:sz w:val="22"/>
                <w:szCs w:val="22"/>
              </w:rPr>
            </w:pPr>
          </w:p>
        </w:tc>
      </w:tr>
    </w:tbl>
    <w:p w:rsidR="00AE1501" w:rsidP="380280F8" w:rsidRDefault="00AE1501" w14:paraId="581FF3CF"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7DE4BBA3" w14:textId="77777777">
      <w:pPr>
        <w:tabs>
          <w:tab w:val="left" w:pos="5402"/>
        </w:tabs>
        <w:spacing w:after="0" w:line="240" w:lineRule="auto"/>
        <w:rPr>
          <w:rFonts w:ascii="Calibri" w:hAnsi="Calibri" w:eastAsia="Calibri" w:cs="Calibri"/>
          <w:b/>
          <w:bCs/>
          <w:i/>
          <w:iCs/>
          <w:color w:val="000000" w:themeColor="text1"/>
          <w:sz w:val="22"/>
          <w:szCs w:val="22"/>
        </w:rPr>
      </w:pPr>
    </w:p>
    <w:p w:rsidR="007B65B1" w:rsidP="380280F8" w:rsidRDefault="68C175C9" w14:paraId="70A47B10" w14:textId="315AA7D1">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r>
      <w:r w:rsidRPr="380280F8">
        <w:rPr>
          <w:rFonts w:ascii="Calibri" w:hAnsi="Calibri" w:eastAsia="Calibri" w:cs="Calibri"/>
          <w:b/>
          <w:bCs/>
          <w:i/>
          <w:iCs/>
          <w:color w:val="000000" w:themeColor="text1"/>
          <w:sz w:val="22"/>
          <w:szCs w:val="22"/>
        </w:rPr>
        <w:t xml:space="preserve">Approche collective 2 : engagement régional </w:t>
      </w:r>
    </w:p>
    <w:p w:rsidR="007B65B1" w:rsidP="380280F8" w:rsidRDefault="68C175C9" w14:paraId="0192F85A" w14:textId="07675489">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Cette approche transpose le plan de travail de Bakou au niveau régional.  Chaque année, au moins deux réunions auront lieu dans différentes régions des Nations unies, avec la participation directe d'anciens, de praticiens, de détenteurs de connaissances, de femmes et de jeunes dans la planification et la mise en œuvre de ces réunions. Les résultats de ces réunions alimentent les dialogues régionaux auxquels participent également les Parties, les organes constitués et d'autres partenaires du LCIPP.  Le FWG facilite également la participation des peuples autochtones et des communautés locales aux activités régionales existantes, telles que l'Expo NAP, afin d'élargir la portée et l'impact. Les rapports de synthèse et les études de cas issus des engagements régionaux alimentent les axes de travail pertinents de la CCNUCC, amplifiant l'engagement des peuples autochtones et des communautés locales et soutenant le repositionnement des discours régionaux sur le climat conformément à la vision et à la stratégie du FWG. </w:t>
      </w:r>
    </w:p>
    <w:p w:rsidR="00AE1501" w:rsidP="380280F8" w:rsidRDefault="00AE1501" w14:paraId="13586B01" w14:textId="77777777">
      <w:pPr>
        <w:tabs>
          <w:tab w:val="left" w:pos="5402"/>
        </w:tabs>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03D25441" w14:textId="77777777">
        <w:trPr>
          <w:trHeight w:val="300"/>
        </w:trPr>
        <w:tc>
          <w:tcPr>
            <w:tcW w:w="9000" w:type="dxa"/>
            <w:gridSpan w:val="2"/>
            <w:shd w:val="clear" w:color="auto" w:fill="E2EFD9"/>
            <w:tcMar>
              <w:left w:w="105" w:type="dxa"/>
              <w:right w:w="105" w:type="dxa"/>
            </w:tcMar>
          </w:tcPr>
          <w:p w:rsidR="00AE1501" w:rsidP="004D2F6E" w:rsidRDefault="00AE1501" w14:paraId="5CD8BDF3" w14:textId="77777777">
            <w:pPr>
              <w:rPr>
                <w:rFonts w:ascii="Calibri" w:hAnsi="Calibri" w:eastAsia="Calibri" w:cs="Calibri"/>
                <w:sz w:val="22"/>
                <w:szCs w:val="22"/>
              </w:rPr>
            </w:pPr>
            <w:r w:rsidRPr="23AE78E9">
              <w:rPr>
                <w:rFonts w:ascii="Calibri" w:hAnsi="Calibri" w:eastAsia="Calibri" w:cs="Calibri"/>
                <w:b/>
                <w:bCs/>
                <w:sz w:val="22"/>
                <w:szCs w:val="22"/>
              </w:rPr>
              <w:t xml:space="preserve">Questions directrices : </w:t>
            </w:r>
          </w:p>
          <w:p w:rsidR="00AE1501" w:rsidP="004D2F6E" w:rsidRDefault="00AE1501" w14:paraId="01FBEA46" w14:textId="77777777">
            <w:pPr>
              <w:rPr>
                <w:rFonts w:ascii="Calibri" w:hAnsi="Calibri" w:eastAsia="Calibri" w:cs="Calibri"/>
                <w:b/>
                <w:bCs/>
                <w:sz w:val="22"/>
                <w:szCs w:val="22"/>
              </w:rPr>
            </w:pPr>
          </w:p>
          <w:p w:rsidR="00AE1501" w:rsidP="00AE1501" w:rsidRDefault="00AE1501" w14:paraId="5F8BDF5B"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Approche collective 2 : Engagement régional</w:t>
            </w:r>
          </w:p>
          <w:p w:rsidR="00AE1501" w:rsidP="00AE1501" w:rsidRDefault="00AE1501" w14:paraId="1404897E" w14:textId="77777777">
            <w:pPr>
              <w:rPr>
                <w:rFonts w:ascii="Calibri" w:hAnsi="Calibri" w:eastAsia="Calibri" w:cs="Calibri"/>
                <w:sz w:val="22"/>
                <w:szCs w:val="22"/>
                <w:u w:val="single"/>
              </w:rPr>
            </w:pPr>
          </w:p>
          <w:p w:rsidRPr="00AE1501" w:rsidR="00AE1501" w:rsidP="00AE1501" w:rsidRDefault="00AE1501" w14:paraId="0D1B5BAD" w14:textId="77777777">
            <w:pPr>
              <w:pStyle w:val="ListParagraph"/>
              <w:numPr>
                <w:ilvl w:val="0"/>
                <w:numId w:val="2"/>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Quels résultats spécifiques rendraient un </w:t>
            </w:r>
            <w:r w:rsidRPr="00AE1501">
              <w:rPr>
                <w:rFonts w:ascii="Calibri" w:hAnsi="Calibri" w:eastAsia="Calibri" w:cs="Calibri"/>
                <w:sz w:val="22"/>
                <w:szCs w:val="22"/>
              </w:rPr>
              <w:t xml:space="preserve">rassemblement </w:t>
            </w:r>
            <w:r w:rsidRPr="00AE1501">
              <w:rPr>
                <w:rFonts w:ascii="Calibri" w:hAnsi="Calibri" w:eastAsia="Calibri" w:cs="Calibri"/>
                <w:sz w:val="22"/>
                <w:szCs w:val="22"/>
              </w:rPr>
              <w:t xml:space="preserve">régional ou </w:t>
            </w:r>
            <w:r w:rsidRPr="00AE1501">
              <w:rPr>
                <w:rFonts w:ascii="Calibri" w:hAnsi="Calibri" w:eastAsia="Calibri" w:cs="Calibri"/>
                <w:sz w:val="22"/>
                <w:szCs w:val="22"/>
              </w:rPr>
              <w:t xml:space="preserve">birégional </w:t>
            </w:r>
            <w:r w:rsidRPr="00AE1501">
              <w:rPr>
                <w:rFonts w:ascii="Calibri" w:hAnsi="Calibri" w:eastAsia="Calibri" w:cs="Calibri"/>
                <w:sz w:val="22"/>
                <w:szCs w:val="22"/>
              </w:rPr>
              <w:t xml:space="preserve">particulièrement efficace pour votre communauté ?</w:t>
            </w:r>
          </w:p>
          <w:p w:rsidRPr="00AE1501" w:rsidR="00AE1501" w:rsidP="004D2F6E" w:rsidRDefault="00AE1501" w14:paraId="561B388E" w14:textId="7255AA33">
            <w:pPr>
              <w:numPr>
                <w:ilvl w:val="0"/>
                <w:numId w:val="2"/>
              </w:numPr>
              <w:rPr>
                <w:rFonts w:ascii="Calibri" w:hAnsi="Calibri" w:eastAsia="Calibri" w:cs="Calibri"/>
                <w:sz w:val="22"/>
                <w:szCs w:val="22"/>
              </w:rPr>
            </w:pPr>
            <w:r w:rsidRPr="00AE1501">
              <w:rPr>
                <w:rFonts w:ascii="Calibri" w:hAnsi="Calibri" w:eastAsia="Calibri" w:cs="Calibri"/>
                <w:sz w:val="22"/>
                <w:szCs w:val="22"/>
              </w:rPr>
              <w:t xml:space="preserve">Comment les </w:t>
            </w:r>
            <w:r w:rsidRPr="00AE1501">
              <w:rPr>
                <w:rFonts w:ascii="Calibri" w:hAnsi="Calibri" w:eastAsia="Calibri" w:cs="Calibri"/>
                <w:sz w:val="22"/>
                <w:szCs w:val="22"/>
              </w:rPr>
              <w:t xml:space="preserve">rassemblements </w:t>
            </w:r>
            <w:r w:rsidRPr="00AE1501">
              <w:rPr>
                <w:rFonts w:ascii="Calibri" w:hAnsi="Calibri" w:eastAsia="Calibri" w:cs="Calibri"/>
                <w:sz w:val="22"/>
                <w:szCs w:val="22"/>
              </w:rPr>
              <w:t xml:space="preserve">régionaux ou </w:t>
            </w:r>
            <w:r w:rsidRPr="00AE1501">
              <w:rPr>
                <w:rFonts w:ascii="Calibri" w:hAnsi="Calibri" w:eastAsia="Calibri" w:cs="Calibri"/>
                <w:sz w:val="22"/>
                <w:szCs w:val="22"/>
              </w:rPr>
              <w:t xml:space="preserve">birégionaux </w:t>
            </w:r>
            <w:r w:rsidRPr="00AE1501">
              <w:rPr>
                <w:rFonts w:ascii="Calibri" w:hAnsi="Calibri" w:eastAsia="Calibri" w:cs="Calibri"/>
                <w:sz w:val="22"/>
                <w:szCs w:val="22"/>
              </w:rPr>
              <w:t xml:space="preserve">et les dialogues annuels connexes </w:t>
            </w:r>
            <w:r w:rsidRPr="00AE1501">
              <w:rPr>
                <w:rFonts w:ascii="Calibri" w:hAnsi="Calibri" w:eastAsia="Calibri" w:cs="Calibri"/>
                <w:sz w:val="22"/>
                <w:szCs w:val="22"/>
              </w:rPr>
              <w:t xml:space="preserve">peuvent-ils </w:t>
            </w:r>
            <w:r w:rsidRPr="00AE1501">
              <w:rPr>
                <w:rFonts w:ascii="Calibri" w:hAnsi="Calibri" w:eastAsia="Calibri" w:cs="Calibri"/>
                <w:sz w:val="22"/>
                <w:szCs w:val="22"/>
              </w:rPr>
              <w:t xml:space="preserve">être organisés afin d'amplifier l'engagement des peuples autochtones et des communautés locales dans le processus de la CCNUCC ? </w:t>
            </w:r>
          </w:p>
          <w:p w:rsidR="00AE1501" w:rsidP="004D2F6E" w:rsidRDefault="00AE1501" w14:paraId="6D557E11" w14:textId="77777777">
            <w:pPr>
              <w:tabs>
                <w:tab w:val="left" w:pos="720"/>
              </w:tabs>
              <w:rPr>
                <w:rFonts w:ascii="Calibri" w:hAnsi="Calibri" w:eastAsia="Calibri" w:cs="Calibri"/>
                <w:sz w:val="22"/>
                <w:szCs w:val="22"/>
              </w:rPr>
            </w:pPr>
          </w:p>
        </w:tc>
      </w:tr>
      <w:tr w:rsidR="00AE1501" w:rsidTr="004D2F6E" w14:paraId="02ED0F4E" w14:textId="77777777">
        <w:trPr>
          <w:trHeight w:val="300"/>
        </w:trPr>
        <w:tc>
          <w:tcPr>
            <w:tcW w:w="4500" w:type="dxa"/>
            <w:tcMar>
              <w:left w:w="105" w:type="dxa"/>
              <w:right w:w="105" w:type="dxa"/>
            </w:tcMar>
          </w:tcPr>
          <w:p w:rsidR="00AE1501" w:rsidP="004D2F6E" w:rsidRDefault="00AE1501" w14:paraId="36F701AE" w14:textId="2C28EC7D">
            <w:r w:rsidRPr="5521AB01">
              <w:rPr>
                <w:rFonts w:ascii="Calibri" w:hAnsi="Calibri" w:eastAsia="Calibri" w:cs="Calibri"/>
                <w:sz w:val="22"/>
                <w:szCs w:val="22"/>
              </w:rPr>
              <w:t xml:space="preserve">Notes de séance : </w:t>
            </w:r>
            <w:r w:rsidRPr="00AE1501">
              <w:rPr>
                <w:rFonts w:ascii="Calibri" w:hAnsi="Calibri" w:eastAsia="Calibri" w:cs="Calibri"/>
                <w:b/>
                <w:bCs/>
                <w:sz w:val="22"/>
                <w:szCs w:val="22"/>
                <w:highlight w:val="yellow"/>
              </w:rPr>
              <w:t xml:space="preserve">Approche</w:t>
            </w:r>
            <w:r w:rsidRPr="5521AB01">
              <w:rPr>
                <w:rFonts w:ascii="Calibri" w:hAnsi="Calibri" w:eastAsia="Calibri" w:cs="Calibri"/>
                <w:b/>
                <w:bCs/>
                <w:sz w:val="22"/>
                <w:szCs w:val="22"/>
                <w:highlight w:val="yellow"/>
              </w:rPr>
              <w:t xml:space="preserve"> collective</w:t>
            </w:r>
            <w:r w:rsidRPr="00AE1501">
              <w:rPr>
                <w:rFonts w:ascii="Calibri" w:hAnsi="Calibri" w:eastAsia="Calibri" w:cs="Calibri"/>
                <w:b/>
                <w:bCs/>
                <w:sz w:val="22"/>
                <w:szCs w:val="22"/>
                <w:highlight w:val="yellow"/>
              </w:rPr>
              <w:t xml:space="preserve"> 2</w:t>
            </w:r>
          </w:p>
          <w:p w:rsidR="00AE1501" w:rsidP="004D2F6E" w:rsidRDefault="00AE1501" w14:paraId="3D082F4D" w14:textId="77777777">
            <w:r w:rsidRPr="721EF3B2">
              <w:rPr>
                <w:rFonts w:ascii="Calibri" w:hAnsi="Calibri" w:eastAsia="Calibri" w:cs="Calibri"/>
                <w:sz w:val="22"/>
                <w:szCs w:val="22"/>
              </w:rPr>
            </w:r>
          </w:p>
          <w:p w:rsidR="00AE1501" w:rsidP="004D2F6E" w:rsidRDefault="00AE1501" w14:paraId="7E0B748F" w14:textId="77777777">
            <w:pPr>
              <w:pStyle w:val="ListParagraph"/>
              <w:ind w:start="1080"/>
              <w:rPr>
                <w:rFonts w:ascii="Calibri" w:hAnsi="Calibri" w:eastAsia="Calibri" w:cs="Calibri"/>
                <w:sz w:val="22"/>
                <w:szCs w:val="22"/>
              </w:rPr>
            </w:pPr>
          </w:p>
          <w:p w:rsidR="00AE1501" w:rsidP="004D2F6E" w:rsidRDefault="00AE1501" w14:paraId="18839F1E"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0C7BFD78" w14:textId="77777777">
            <w:pPr>
              <w:rPr>
                <w:rFonts w:ascii="Calibri" w:hAnsi="Calibri" w:eastAsia="Calibri" w:cs="Calibri"/>
                <w:sz w:val="22"/>
                <w:szCs w:val="22"/>
              </w:rPr>
            </w:pPr>
          </w:p>
          <w:p w:rsidR="00AE1501" w:rsidP="004D2F6E" w:rsidRDefault="00AE1501" w14:paraId="0BB7A795" w14:textId="77777777"/>
          <w:p w:rsidR="00AE1501" w:rsidP="004D2F6E" w:rsidRDefault="00AE1501" w14:paraId="1FA4C171" w14:textId="77777777"/>
          <w:p w:rsidR="00AE1501" w:rsidP="004D2F6E" w:rsidRDefault="00AE1501" w14:paraId="0E9DDC61"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91C1DEC" w14:textId="77777777">
            <w:pPr>
              <w:rPr>
                <w:rFonts w:ascii="Calibri" w:hAnsi="Calibri" w:eastAsia="Calibri" w:cs="Calibri"/>
                <w:sz w:val="22"/>
                <w:szCs w:val="22"/>
              </w:rPr>
            </w:pPr>
            <w:r w:rsidRPr="5521AB01">
              <w:rPr>
                <w:rFonts w:ascii="Calibri" w:hAnsi="Calibri" w:eastAsia="Calibri" w:cs="Calibri"/>
                <w:sz w:val="22"/>
                <w:szCs w:val="22"/>
              </w:rPr>
              <w:t xml:space="preserve">Messages clés à retenir :</w:t>
            </w:r>
          </w:p>
          <w:p w:rsidR="00AE1501" w:rsidP="004D2F6E" w:rsidRDefault="00AE1501" w14:paraId="26B4D8C7" w14:textId="77777777">
            <w:pPr>
              <w:rPr>
                <w:rFonts w:ascii="Calibri" w:hAnsi="Calibri" w:eastAsia="Calibri" w:cs="Calibri"/>
                <w:sz w:val="22"/>
                <w:szCs w:val="22"/>
              </w:rPr>
            </w:pPr>
          </w:p>
        </w:tc>
      </w:tr>
      <w:tr w:rsidRPr="5521AB01" w:rsidR="00AE1501" w:rsidTr="004D2F6E" w14:paraId="74307EE5"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5B70E1FA"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Informations supplémentaires importantes partagées :</w:t>
            </w:r>
          </w:p>
          <w:p w:rsidRPr="5521AB01" w:rsidR="00AE1501" w:rsidP="004D2F6E" w:rsidRDefault="00AE1501" w14:paraId="149A07F8"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Exemples de cas importants (</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visions du monde et politiques spécifiques liées aux peuples autochtones et aux communautés locales), possibilités de collaboration, recommandations, défis, etc.</w:t>
            </w:r>
          </w:p>
        </w:tc>
      </w:tr>
      <w:tr w:rsidRPr="5521AB01" w:rsidR="00AE1501" w:rsidTr="004D2F6E" w14:paraId="673DDE49" w14:textId="77777777">
        <w:trPr>
          <w:trHeight w:val="300"/>
        </w:trPr>
        <w:tc>
          <w:tcPr>
            <w:tcW w:w="9000" w:type="dxa"/>
            <w:gridSpan w:val="2"/>
            <w:tcMar>
              <w:left w:w="105" w:type="dxa"/>
              <w:right w:w="105" w:type="dxa"/>
            </w:tcMar>
          </w:tcPr>
          <w:p w:rsidR="00AE1501" w:rsidP="004D2F6E" w:rsidRDefault="00AE1501" w14:paraId="0381142D" w14:textId="77777777">
            <w:pPr>
              <w:rPr>
                <w:rFonts w:ascii="Calibri" w:hAnsi="Calibri" w:eastAsia="Calibri" w:cs="Calibri"/>
                <w:color w:val="000000" w:themeColor="text1"/>
                <w:sz w:val="22"/>
                <w:szCs w:val="22"/>
              </w:rPr>
            </w:pPr>
          </w:p>
          <w:p w:rsidR="00AE1501" w:rsidP="004D2F6E" w:rsidRDefault="00AE1501" w14:paraId="09EFB4EE" w14:textId="77777777">
            <w:pPr>
              <w:jc w:val="center"/>
              <w:rPr>
                <w:rFonts w:ascii="Calibri" w:hAnsi="Calibri" w:eastAsia="Calibri" w:cs="Calibri"/>
                <w:color w:val="000000" w:themeColor="text1"/>
                <w:sz w:val="22"/>
                <w:szCs w:val="22"/>
              </w:rPr>
            </w:pPr>
          </w:p>
          <w:p w:rsidR="00AE1501" w:rsidP="004D2F6E" w:rsidRDefault="00AE1501" w14:paraId="4BFCB2E0" w14:textId="77777777">
            <w:pPr>
              <w:jc w:val="center"/>
              <w:rPr>
                <w:rFonts w:ascii="Calibri" w:hAnsi="Calibri" w:eastAsia="Calibri" w:cs="Calibri"/>
                <w:color w:val="000000" w:themeColor="text1"/>
                <w:sz w:val="22"/>
                <w:szCs w:val="22"/>
              </w:rPr>
            </w:pPr>
          </w:p>
          <w:p w:rsidRPr="5521AB01" w:rsidR="00AE1501" w:rsidP="004D2F6E" w:rsidRDefault="00AE1501" w14:paraId="38671FDB" w14:textId="77777777">
            <w:pPr>
              <w:rPr>
                <w:rFonts w:ascii="Calibri" w:hAnsi="Calibri" w:eastAsia="Calibri" w:cs="Calibri"/>
                <w:sz w:val="22"/>
                <w:szCs w:val="22"/>
              </w:rPr>
            </w:pPr>
          </w:p>
        </w:tc>
      </w:tr>
    </w:tbl>
    <w:p w:rsidR="00AE1501" w:rsidP="380280F8" w:rsidRDefault="00AE1501" w14:paraId="54763E3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47BDF5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6D9B19E"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DCF795F"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0495ABB1"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7649D6FE"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5BE76421" w14:textId="77777777" w14:noSpellErr="1">
      <w:pPr>
        <w:tabs>
          <w:tab w:val="left" w:pos="5402"/>
        </w:tabs>
        <w:spacing w:after="0" w:line="240" w:lineRule="auto"/>
        <w:rPr>
          <w:rFonts w:ascii="Calibri" w:hAnsi="Calibri" w:eastAsia="Calibri" w:cs="Calibri"/>
          <w:color w:val="000000" w:themeColor="text1"/>
          <w:sz w:val="22"/>
          <w:szCs w:val="22"/>
        </w:rPr>
      </w:pPr>
    </w:p>
    <w:p w:rsidR="7EBC4369" w:rsidP="7EBC4369" w:rsidRDefault="7EBC4369" w14:paraId="74709322" w14:textId="37A92E40">
      <w:pPr>
        <w:tabs>
          <w:tab w:val="left" w:leader="none" w:pos="5402"/>
        </w:tabs>
        <w:spacing w:after="0" w:line="240" w:lineRule="auto"/>
        <w:rPr>
          <w:rFonts w:ascii="Calibri" w:hAnsi="Calibri" w:eastAsia="Calibri" w:cs="Calibri"/>
          <w:color w:val="000000" w:themeColor="text1" w:themeTint="FF" w:themeShade="FF"/>
          <w:sz w:val="22"/>
          <w:szCs w:val="22"/>
        </w:rPr>
      </w:pPr>
    </w:p>
    <w:p w:rsidR="00AE1501" w:rsidP="380280F8" w:rsidRDefault="00AE1501" w14:paraId="2D978194"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1ACCD50F" w14:textId="77777777">
      <w:pPr>
        <w:tabs>
          <w:tab w:val="left" w:pos="5402"/>
        </w:tabs>
        <w:spacing w:after="0" w:line="240" w:lineRule="auto"/>
        <w:rPr>
          <w:rFonts w:ascii="Calibri" w:hAnsi="Calibri" w:eastAsia="Calibri" w:cs="Calibri"/>
          <w:color w:val="000000" w:themeColor="text1"/>
          <w:sz w:val="22"/>
          <w:szCs w:val="22"/>
        </w:rPr>
      </w:pPr>
    </w:p>
    <w:p w:rsidR="007B65B1" w:rsidP="380280F8" w:rsidRDefault="007B65B1" w14:paraId="2534080A" w14:textId="349C8034">
      <w:pPr>
        <w:tabs>
          <w:tab w:val="left" w:pos="5402"/>
        </w:tabs>
        <w:spacing w:after="0" w:line="240" w:lineRule="auto"/>
        <w:ind w:start="720"/>
        <w:rPr>
          <w:rFonts w:ascii="Calibri" w:hAnsi="Calibri" w:eastAsia="Calibri" w:cs="Calibri"/>
          <w:color w:val="000000" w:themeColor="text1"/>
          <w:sz w:val="22"/>
          <w:szCs w:val="22"/>
        </w:rPr>
      </w:pPr>
    </w:p>
    <w:p w:rsidR="007B65B1" w:rsidP="380280F8" w:rsidRDefault="68C175C9" w14:paraId="41CBCFFA" w14:textId="097003B9">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r>
      <w:r w:rsidRPr="380280F8">
        <w:rPr>
          <w:rFonts w:ascii="Calibri" w:hAnsi="Calibri" w:eastAsia="Calibri" w:cs="Calibri"/>
          <w:b/>
          <w:bCs/>
          <w:i/>
          <w:iCs/>
          <w:color w:val="000000" w:themeColor="text1"/>
          <w:sz w:val="22"/>
          <w:szCs w:val="22"/>
        </w:rPr>
        <w:t xml:space="preserve">Approche collective 3 : Table ronde de la septième génération </w:t>
      </w:r>
    </w:p>
    <w:p w:rsidR="007B65B1" w:rsidP="41BE52C5" w:rsidRDefault="61221A3D" w14:paraId="4EE6A3D0" w14:textId="3EE81094">
      <w:pPr>
        <w:spacing w:after="0" w:line="240" w:lineRule="auto"/>
        <w:rPr>
          <w:rFonts w:ascii="Calibri" w:hAnsi="Calibri" w:eastAsia="Calibri" w:cs="Calibri"/>
          <w:color w:val="000000" w:themeColor="text1"/>
          <w:sz w:val="22"/>
          <w:szCs w:val="22"/>
          <w:lang w:val="en-IE"/>
        </w:rPr>
      </w:pPr>
      <w:r w:rsidRPr="41BE52C5">
        <w:rPr>
          <w:rFonts w:ascii="Calibri" w:hAnsi="Calibri" w:eastAsia="Calibri" w:cs="Calibri"/>
          <w:color w:val="000000" w:themeColor="text1"/>
          <w:sz w:val="22"/>
          <w:szCs w:val="22"/>
          <w:lang w:val="en-IE"/>
        </w:rPr>
        <w:t xml:space="preserve">Cette approche s'articule autour d'une table ronde annuelle de la septième génération, fondée sur le principe de la préservation du bien-être de la septième génération et de la promotion des perspectives intergénérationnelles.  Les préparatifs de la table ronde comprennent des réunions virtuelles visant à impliquer les jeunes autochtones et les jeunes des communautés locales dans l'élaboration d'un programme régional équilibré et à renforcer leur capacité à participer de manière significative aux sessions de la COP. Les résultats, notamment les rapports de synthèse, les recommandations et les études de cas, enrichissent le processus de la CCNUCC en amplifiant la voix des jeunes autochtones et des jeunes des communautés locales et en renforçant les engagements intergénérationnels et mondiaux en faveur de l'action climatique et de la restauration de la nature.</w:t>
      </w:r>
    </w:p>
    <w:p w:rsidR="00AE1501" w:rsidP="41BE52C5" w:rsidRDefault="00AE1501" w14:paraId="560063E2" w14:textId="77777777">
      <w:pPr>
        <w:spacing w:after="0" w:line="240" w:lineRule="auto"/>
        <w:rPr>
          <w:rFonts w:ascii="Calibri" w:hAnsi="Calibri" w:eastAsia="Calibri" w:cs="Calibri"/>
          <w:color w:val="000000" w:themeColor="text1"/>
          <w:sz w:val="22"/>
          <w:szCs w:val="22"/>
          <w:lang w:val="en-IE"/>
        </w:rPr>
      </w:pPr>
    </w:p>
    <w:p w:rsidR="00AE1501" w:rsidP="41BE52C5" w:rsidRDefault="00AE1501" w14:paraId="161FCC14" w14:textId="77777777">
      <w:pPr>
        <w:spacing w:after="0" w:line="240" w:lineRule="auto"/>
        <w:rPr>
          <w:rFonts w:ascii="Calibri" w:hAnsi="Calibri" w:eastAsia="Calibri" w:cs="Calibri"/>
          <w:color w:val="000000" w:themeColor="text1"/>
          <w:sz w:val="22"/>
          <w:szCs w:val="22"/>
          <w:lang w:val="en-I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7433B775" w14:textId="77777777">
        <w:trPr>
          <w:trHeight w:val="300"/>
        </w:trPr>
        <w:tc>
          <w:tcPr>
            <w:tcW w:w="9000" w:type="dxa"/>
            <w:gridSpan w:val="2"/>
            <w:shd w:val="clear" w:color="auto" w:fill="E2EFD9"/>
            <w:tcMar>
              <w:left w:w="105" w:type="dxa"/>
              <w:right w:w="105" w:type="dxa"/>
            </w:tcMar>
          </w:tcPr>
          <w:p w:rsidR="00AE1501" w:rsidP="004D2F6E" w:rsidRDefault="00AE1501" w14:paraId="7DDD81E4" w14:textId="77777777">
            <w:pPr>
              <w:rPr>
                <w:rFonts w:ascii="Calibri" w:hAnsi="Calibri" w:eastAsia="Calibri" w:cs="Calibri"/>
                <w:sz w:val="22"/>
                <w:szCs w:val="22"/>
              </w:rPr>
            </w:pPr>
            <w:r w:rsidRPr="23AE78E9">
              <w:rPr>
                <w:rFonts w:ascii="Calibri" w:hAnsi="Calibri" w:eastAsia="Calibri" w:cs="Calibri"/>
                <w:b/>
                <w:bCs/>
                <w:sz w:val="22"/>
                <w:szCs w:val="22"/>
              </w:rPr>
              <w:t xml:space="preserve">Questions directrices : </w:t>
            </w:r>
          </w:p>
          <w:p w:rsidR="00AE1501" w:rsidP="004D2F6E" w:rsidRDefault="00AE1501" w14:paraId="35CD0C14" w14:textId="77777777">
            <w:pPr>
              <w:rPr>
                <w:rFonts w:ascii="Calibri" w:hAnsi="Calibri" w:eastAsia="Calibri" w:cs="Calibri"/>
                <w:b/>
                <w:bCs/>
                <w:sz w:val="22"/>
                <w:szCs w:val="22"/>
              </w:rPr>
            </w:pPr>
          </w:p>
          <w:p w:rsidR="00AE1501" w:rsidP="00AE1501" w:rsidRDefault="00AE1501" w14:paraId="21371B20"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Approche collective 3 : </w:t>
            </w:r>
            <w:r w:rsidRPr="5521AB01">
              <w:rPr>
                <w:rFonts w:ascii="Calibri" w:hAnsi="Calibri" w:eastAsia="Calibri" w:cs="Calibri"/>
                <w:sz w:val="22"/>
                <w:szCs w:val="22"/>
                <w:u w:val="single"/>
              </w:rPr>
              <w:t xml:space="preserve">Table</w:t>
            </w:r>
            <w:r w:rsidRPr="5521AB01">
              <w:rPr>
                <w:rFonts w:ascii="Calibri" w:hAnsi="Calibri" w:eastAsia="Calibri" w:cs="Calibri"/>
                <w:sz w:val="22"/>
                <w:szCs w:val="22"/>
                <w:u w:val="single"/>
              </w:rPr>
              <w:t xml:space="preserve"> ronde de la septième génération</w:t>
            </w:r>
          </w:p>
          <w:p w:rsidR="00AE1501" w:rsidP="00AE1501" w:rsidRDefault="00AE1501" w14:paraId="5A186F12" w14:textId="77777777">
            <w:pPr>
              <w:rPr>
                <w:rFonts w:ascii="Calibri" w:hAnsi="Calibri" w:eastAsia="Calibri" w:cs="Calibri"/>
                <w:sz w:val="22"/>
                <w:szCs w:val="22"/>
                <w:u w:val="single"/>
              </w:rPr>
            </w:pPr>
          </w:p>
          <w:p w:rsidRPr="00AE1501" w:rsidR="00AE1501" w:rsidP="00AE1501" w:rsidRDefault="00AE1501" w14:paraId="7669EB37" w14:textId="77777777">
            <w:pPr>
              <w:numPr>
                <w:ilvl w:val="0"/>
                <w:numId w:val="6"/>
              </w:numPr>
              <w:tabs>
                <w:tab w:val="left" w:pos="720"/>
              </w:tabs>
              <w:spacing w:after="0" w:line="240" w:lineRule="auto"/>
              <w:rPr>
                <w:rFonts w:ascii="Calibri" w:hAnsi="Calibri" w:eastAsia="Calibri" w:cs="Calibri"/>
                <w:sz w:val="22"/>
                <w:szCs w:val="22"/>
                <w:lang w:val="en-CA"/>
              </w:rPr>
            </w:pPr>
            <w:r w:rsidRPr="00AE1501">
              <w:rPr>
                <w:rFonts w:ascii="Calibri" w:hAnsi="Calibri" w:eastAsia="Calibri" w:cs="Calibri"/>
                <w:sz w:val="22"/>
                <w:szCs w:val="22"/>
              </w:rPr>
              <w:t xml:space="preserve">Quels concepts ou pratiques spécifiques dans votre contexte favorisent la continuité et la responsabilité intergénérationnelles ?</w:t>
            </w:r>
          </w:p>
          <w:p w:rsidRPr="00AE1501" w:rsidR="00AE1501" w:rsidP="00AE1501" w:rsidRDefault="00AE1501" w14:paraId="5871897A" w14:textId="77777777">
            <w:pPr>
              <w:numPr>
                <w:ilvl w:val="0"/>
                <w:numId w:val="6"/>
              </w:numPr>
              <w:tabs>
                <w:tab w:val="left" w:pos="720"/>
              </w:tabs>
              <w:rPr>
                <w:rFonts w:ascii="Calibri" w:hAnsi="Calibri" w:eastAsia="Calibri" w:cs="Calibri"/>
                <w:sz w:val="22"/>
                <w:szCs w:val="22"/>
                <w:lang w:val="en-CA"/>
              </w:rPr>
            </w:pPr>
            <w:r w:rsidRPr="00AE1501">
              <w:rPr>
                <w:rFonts w:ascii="Calibri" w:hAnsi="Calibri" w:eastAsia="Calibri" w:cs="Calibri"/>
                <w:sz w:val="22"/>
                <w:szCs w:val="22"/>
              </w:rPr>
              <w:t xml:space="preserve">Comment ces concepts ou pratiques (tels que le principe de la septième génération) inspirent-ils l'action et les politiques climatiques ? </w:t>
            </w:r>
          </w:p>
          <w:p w:rsidR="00AE1501" w:rsidP="004D2F6E" w:rsidRDefault="00AE1501" w14:paraId="259F8811" w14:textId="77777777">
            <w:pPr>
              <w:tabs>
                <w:tab w:val="left" w:pos="720"/>
              </w:tabs>
              <w:rPr>
                <w:rFonts w:ascii="Calibri" w:hAnsi="Calibri" w:eastAsia="Calibri" w:cs="Calibri"/>
                <w:sz w:val="22"/>
                <w:szCs w:val="22"/>
              </w:rPr>
            </w:pPr>
          </w:p>
        </w:tc>
      </w:tr>
      <w:tr w:rsidR="00AE1501" w:rsidTr="004D2F6E" w14:paraId="13EE28A1" w14:textId="77777777">
        <w:trPr>
          <w:trHeight w:val="300"/>
        </w:trPr>
        <w:tc>
          <w:tcPr>
            <w:tcW w:w="4500" w:type="dxa"/>
            <w:tcMar>
              <w:left w:w="105" w:type="dxa"/>
              <w:right w:w="105" w:type="dxa"/>
            </w:tcMar>
          </w:tcPr>
          <w:p w:rsidR="00AE1501" w:rsidP="004D2F6E" w:rsidRDefault="00AE1501" w14:paraId="7F12080C" w14:textId="1761EB98">
            <w:r w:rsidRPr="5521AB01">
              <w:rPr>
                <w:rFonts w:ascii="Calibri" w:hAnsi="Calibri" w:eastAsia="Calibri" w:cs="Calibri"/>
                <w:sz w:val="22"/>
                <w:szCs w:val="22"/>
              </w:rPr>
              <w:t xml:space="preserve">Notes de cours : </w:t>
            </w:r>
            <w:r w:rsidRPr="00AE1501">
              <w:rPr>
                <w:rFonts w:ascii="Calibri" w:hAnsi="Calibri" w:eastAsia="Calibri" w:cs="Calibri"/>
                <w:b/>
                <w:bCs/>
                <w:sz w:val="22"/>
                <w:szCs w:val="22"/>
                <w:highlight w:val="yellow"/>
              </w:rPr>
              <w:t xml:space="preserve">Approche</w:t>
            </w:r>
            <w:r w:rsidRPr="5521AB01">
              <w:rPr>
                <w:rFonts w:ascii="Calibri" w:hAnsi="Calibri" w:eastAsia="Calibri" w:cs="Calibri"/>
                <w:b/>
                <w:bCs/>
                <w:sz w:val="22"/>
                <w:szCs w:val="22"/>
                <w:highlight w:val="yellow"/>
              </w:rPr>
              <w:t xml:space="preserve"> collective</w:t>
            </w:r>
            <w:r w:rsidRPr="00AE1501">
              <w:rPr>
                <w:rFonts w:ascii="Calibri" w:hAnsi="Calibri" w:eastAsia="Calibri" w:cs="Calibri"/>
                <w:b/>
                <w:bCs/>
                <w:sz w:val="22"/>
                <w:szCs w:val="22"/>
                <w:highlight w:val="yellow"/>
              </w:rPr>
              <w:t xml:space="preserve"> 3 </w:t>
            </w:r>
          </w:p>
          <w:p w:rsidR="00AE1501" w:rsidP="004D2F6E" w:rsidRDefault="00AE1501" w14:paraId="71CBC0FF" w14:textId="77777777">
            <w:r w:rsidRPr="721EF3B2">
              <w:rPr>
                <w:rFonts w:ascii="Calibri" w:hAnsi="Calibri" w:eastAsia="Calibri" w:cs="Calibri"/>
                <w:sz w:val="22"/>
                <w:szCs w:val="22"/>
              </w:rPr>
            </w:r>
          </w:p>
          <w:p w:rsidR="00AE1501" w:rsidP="004D2F6E" w:rsidRDefault="00AE1501" w14:paraId="30B7F498" w14:textId="77777777">
            <w:pPr>
              <w:pStyle w:val="ListParagraph"/>
              <w:ind w:start="1080"/>
              <w:rPr>
                <w:rFonts w:ascii="Calibri" w:hAnsi="Calibri" w:eastAsia="Calibri" w:cs="Calibri"/>
                <w:sz w:val="22"/>
                <w:szCs w:val="22"/>
              </w:rPr>
            </w:pPr>
          </w:p>
          <w:p w:rsidR="00AE1501" w:rsidP="004D2F6E" w:rsidRDefault="00AE1501" w14:paraId="1C2F2BBC"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3C36689F" w14:textId="77777777">
            <w:pPr>
              <w:rPr>
                <w:rFonts w:ascii="Calibri" w:hAnsi="Calibri" w:eastAsia="Calibri" w:cs="Calibri"/>
                <w:sz w:val="22"/>
                <w:szCs w:val="22"/>
              </w:rPr>
            </w:pPr>
          </w:p>
          <w:p w:rsidR="00AE1501" w:rsidP="004D2F6E" w:rsidRDefault="00AE1501" w14:paraId="58AD8DD5" w14:textId="77777777">
            <w:pPr>
              <w:rPr>
                <w:rFonts w:ascii="Calibri" w:hAnsi="Calibri" w:eastAsia="Calibri" w:cs="Calibri"/>
                <w:sz w:val="22"/>
                <w:szCs w:val="22"/>
              </w:rPr>
            </w:pPr>
          </w:p>
          <w:p w:rsidR="00AE1501" w:rsidP="004D2F6E" w:rsidRDefault="00AE1501" w14:paraId="1527099C" w14:textId="77777777"/>
          <w:p w:rsidR="00AE1501" w:rsidP="004D2F6E" w:rsidRDefault="00AE1501" w14:paraId="15A8685C" w14:textId="77777777"/>
          <w:p w:rsidR="00AE1501" w:rsidP="004D2F6E" w:rsidRDefault="00AE1501" w14:paraId="78B85E38"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4039183" w14:textId="77777777">
            <w:pPr>
              <w:rPr>
                <w:rFonts w:ascii="Calibri" w:hAnsi="Calibri" w:eastAsia="Calibri" w:cs="Calibri"/>
                <w:sz w:val="22"/>
                <w:szCs w:val="22"/>
              </w:rPr>
            </w:pPr>
            <w:r w:rsidRPr="5521AB01">
              <w:rPr>
                <w:rFonts w:ascii="Calibri" w:hAnsi="Calibri" w:eastAsia="Calibri" w:cs="Calibri"/>
                <w:sz w:val="22"/>
                <w:szCs w:val="22"/>
              </w:rPr>
              <w:t xml:space="preserve">Messages clés à retenir :</w:t>
            </w:r>
          </w:p>
          <w:p w:rsidR="00AE1501" w:rsidP="004D2F6E" w:rsidRDefault="00AE1501" w14:paraId="27F24281" w14:textId="77777777">
            <w:pPr>
              <w:rPr>
                <w:rFonts w:ascii="Calibri" w:hAnsi="Calibri" w:eastAsia="Calibri" w:cs="Calibri"/>
                <w:sz w:val="22"/>
                <w:szCs w:val="22"/>
              </w:rPr>
            </w:pPr>
          </w:p>
        </w:tc>
      </w:tr>
      <w:tr w:rsidRPr="5521AB01" w:rsidR="00AE1501" w:rsidTr="004D2F6E" w14:paraId="42B056EA"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32997331"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Informations supplémentaires importantes partagées :</w:t>
            </w:r>
          </w:p>
          <w:p w:rsidRPr="5521AB01" w:rsidR="00AE1501" w:rsidP="004D2F6E" w:rsidRDefault="00AE1501" w14:paraId="43E4FC50"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Exemples de cas importants (</w:t>
            </w:r>
            <w:r w:rsidRPr="23AE78E9">
              <w:rPr>
                <w:rFonts w:ascii="Calibri" w:hAnsi="Calibri" w:eastAsia="Calibri" w:cs="Calibri"/>
                <w:color w:val="000000" w:themeColor="text1"/>
                <w:sz w:val="22"/>
                <w:szCs w:val="22"/>
              </w:rPr>
              <w:t xml:space="preserve">par exemple</w:t>
            </w:r>
            <w:r w:rsidRPr="23AE78E9">
              <w:rPr>
                <w:rFonts w:ascii="Calibri" w:hAnsi="Calibri" w:eastAsia="Calibri" w:cs="Calibri"/>
                <w:color w:val="000000" w:themeColor="text1"/>
                <w:sz w:val="22"/>
                <w:szCs w:val="22"/>
              </w:rPr>
              <w:t xml:space="preserve">, pratiques, valeurs, visions du monde et politiques spécifiques liées aux peuples autochtones et aux communautés locales), possibilités de collaboration, recommandations, défis, etc.</w:t>
            </w:r>
          </w:p>
        </w:tc>
      </w:tr>
      <w:tr w:rsidRPr="5521AB01" w:rsidR="00AE1501" w:rsidTr="004D2F6E" w14:paraId="46D3D020" w14:textId="77777777">
        <w:trPr>
          <w:trHeight w:val="300"/>
        </w:trPr>
        <w:tc>
          <w:tcPr>
            <w:tcW w:w="9000" w:type="dxa"/>
            <w:gridSpan w:val="2"/>
            <w:tcMar>
              <w:left w:w="105" w:type="dxa"/>
              <w:right w:w="105" w:type="dxa"/>
            </w:tcMar>
          </w:tcPr>
          <w:p w:rsidR="00AE1501" w:rsidP="004D2F6E" w:rsidRDefault="00AE1501" w14:paraId="02031E49" w14:textId="77777777">
            <w:pPr>
              <w:rPr>
                <w:rFonts w:ascii="Calibri" w:hAnsi="Calibri" w:eastAsia="Calibri" w:cs="Calibri"/>
                <w:color w:val="000000" w:themeColor="text1"/>
                <w:sz w:val="22"/>
                <w:szCs w:val="22"/>
              </w:rPr>
            </w:pPr>
          </w:p>
          <w:p w:rsidR="00AE1501" w:rsidP="004D2F6E" w:rsidRDefault="00AE1501" w14:paraId="4CAD90BD" w14:textId="77777777">
            <w:pPr>
              <w:jc w:val="center"/>
              <w:rPr>
                <w:rFonts w:ascii="Calibri" w:hAnsi="Calibri" w:eastAsia="Calibri" w:cs="Calibri"/>
                <w:color w:val="000000" w:themeColor="text1"/>
                <w:sz w:val="22"/>
                <w:szCs w:val="22"/>
              </w:rPr>
            </w:pPr>
          </w:p>
          <w:p w:rsidR="00AE1501" w:rsidP="004D2F6E" w:rsidRDefault="00AE1501" w14:paraId="399681AC" w14:textId="77777777">
            <w:pPr>
              <w:jc w:val="center"/>
              <w:rPr>
                <w:rFonts w:ascii="Calibri" w:hAnsi="Calibri" w:eastAsia="Calibri" w:cs="Calibri"/>
                <w:color w:val="000000" w:themeColor="text1"/>
                <w:sz w:val="22"/>
                <w:szCs w:val="22"/>
              </w:rPr>
            </w:pPr>
          </w:p>
          <w:p w:rsidRPr="5521AB01" w:rsidR="00AE1501" w:rsidP="004D2F6E" w:rsidRDefault="00AE1501" w14:paraId="5DF97A40" w14:textId="77777777">
            <w:pPr>
              <w:rPr>
                <w:rFonts w:ascii="Calibri" w:hAnsi="Calibri" w:eastAsia="Calibri" w:cs="Calibri"/>
                <w:sz w:val="22"/>
                <w:szCs w:val="22"/>
              </w:rPr>
            </w:pPr>
          </w:p>
        </w:tc>
      </w:tr>
    </w:tbl>
    <w:p w:rsidR="00AE1501" w:rsidP="41BE52C5" w:rsidRDefault="00AE1501" w14:paraId="54C7538F" w14:textId="77777777">
      <w:pPr>
        <w:spacing w:after="0" w:line="240" w:lineRule="auto"/>
        <w:rPr>
          <w:rFonts w:ascii="Calibri" w:hAnsi="Calibri" w:eastAsia="Calibri" w:cs="Calibri"/>
          <w:color w:val="000000" w:themeColor="text1"/>
          <w:sz w:val="22"/>
          <w:szCs w:val="22"/>
        </w:rPr>
      </w:pPr>
    </w:p>
    <w:p w:rsidR="00AE1501" w:rsidP="41BE52C5" w:rsidRDefault="00AE1501" w14:paraId="5338E283" w14:textId="77777777">
      <w:pPr>
        <w:spacing w:after="0" w:line="240" w:lineRule="auto"/>
        <w:rPr>
          <w:rFonts w:ascii="Calibri" w:hAnsi="Calibri" w:eastAsia="Calibri" w:cs="Calibri"/>
          <w:color w:val="000000" w:themeColor="text1"/>
          <w:sz w:val="22"/>
          <w:szCs w:val="22"/>
        </w:rPr>
      </w:pPr>
    </w:p>
    <w:sectPr w:rsidR="00AE150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4159" w:rsidP="00E8770E" w:rsidRDefault="00674159" w14:paraId="68855ED7" w14:textId="77777777">
      <w:pPr>
        <w:spacing w:after="0" w:line="240" w:lineRule="auto"/>
      </w:pPr>
      <w:r>
        <w:separator/>
      </w:r>
    </w:p>
  </w:endnote>
  <w:endnote w:type="continuationSeparator" w:id="0">
    <w:p w:rsidR="00674159" w:rsidP="00E8770E" w:rsidRDefault="00674159" w14:paraId="57E1E6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4159" w:rsidP="00E8770E" w:rsidRDefault="00674159" w14:paraId="2F00AB33" w14:textId="77777777">
      <w:pPr>
        <w:spacing w:after="0" w:line="240" w:lineRule="auto"/>
      </w:pPr>
      <w:r>
        <w:separator/>
      </w:r>
    </w:p>
  </w:footnote>
  <w:footnote w:type="continuationSeparator" w:id="0">
    <w:p w:rsidR="00674159" w:rsidP="00E8770E" w:rsidRDefault="00674159" w14:paraId="737F59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hint="default" w:ascii="Arial" w:hAnsi="Arial"/>
      </w:rPr>
    </w:lvl>
    <w:lvl w:ilvl="1" w:tplc="BCD2528E" w:tentative="1">
      <w:start w:val="1"/>
      <w:numFmt w:val="bullet"/>
      <w:lvlText w:val="•"/>
      <w:lvlJc w:val="left"/>
      <w:pPr>
        <w:tabs>
          <w:tab w:val="num" w:pos="1440"/>
        </w:tabs>
        <w:ind w:left="1440" w:hanging="360"/>
      </w:pPr>
      <w:rPr>
        <w:rFonts w:hint="default" w:ascii="Arial" w:hAnsi="Arial"/>
      </w:rPr>
    </w:lvl>
    <w:lvl w:ilvl="2" w:tplc="A648C188" w:tentative="1">
      <w:start w:val="1"/>
      <w:numFmt w:val="bullet"/>
      <w:lvlText w:val="•"/>
      <w:lvlJc w:val="left"/>
      <w:pPr>
        <w:tabs>
          <w:tab w:val="num" w:pos="2160"/>
        </w:tabs>
        <w:ind w:left="2160" w:hanging="360"/>
      </w:pPr>
      <w:rPr>
        <w:rFonts w:hint="default" w:ascii="Arial" w:hAnsi="Arial"/>
      </w:rPr>
    </w:lvl>
    <w:lvl w:ilvl="3" w:tplc="34805F70" w:tentative="1">
      <w:start w:val="1"/>
      <w:numFmt w:val="bullet"/>
      <w:lvlText w:val="•"/>
      <w:lvlJc w:val="left"/>
      <w:pPr>
        <w:tabs>
          <w:tab w:val="num" w:pos="2880"/>
        </w:tabs>
        <w:ind w:left="2880" w:hanging="360"/>
      </w:pPr>
      <w:rPr>
        <w:rFonts w:hint="default" w:ascii="Arial" w:hAnsi="Arial"/>
      </w:rPr>
    </w:lvl>
    <w:lvl w:ilvl="4" w:tplc="C45C9F60" w:tentative="1">
      <w:start w:val="1"/>
      <w:numFmt w:val="bullet"/>
      <w:lvlText w:val="•"/>
      <w:lvlJc w:val="left"/>
      <w:pPr>
        <w:tabs>
          <w:tab w:val="num" w:pos="3600"/>
        </w:tabs>
        <w:ind w:left="3600" w:hanging="360"/>
      </w:pPr>
      <w:rPr>
        <w:rFonts w:hint="default" w:ascii="Arial" w:hAnsi="Arial"/>
      </w:rPr>
    </w:lvl>
    <w:lvl w:ilvl="5" w:tplc="CD8E3566" w:tentative="1">
      <w:start w:val="1"/>
      <w:numFmt w:val="bullet"/>
      <w:lvlText w:val="•"/>
      <w:lvlJc w:val="left"/>
      <w:pPr>
        <w:tabs>
          <w:tab w:val="num" w:pos="4320"/>
        </w:tabs>
        <w:ind w:left="4320" w:hanging="360"/>
      </w:pPr>
      <w:rPr>
        <w:rFonts w:hint="default" w:ascii="Arial" w:hAnsi="Arial"/>
      </w:rPr>
    </w:lvl>
    <w:lvl w:ilvl="6" w:tplc="07AC9FB8" w:tentative="1">
      <w:start w:val="1"/>
      <w:numFmt w:val="bullet"/>
      <w:lvlText w:val="•"/>
      <w:lvlJc w:val="left"/>
      <w:pPr>
        <w:tabs>
          <w:tab w:val="num" w:pos="5040"/>
        </w:tabs>
        <w:ind w:left="5040" w:hanging="360"/>
      </w:pPr>
      <w:rPr>
        <w:rFonts w:hint="default" w:ascii="Arial" w:hAnsi="Arial"/>
      </w:rPr>
    </w:lvl>
    <w:lvl w:ilvl="7" w:tplc="F058FFEA" w:tentative="1">
      <w:start w:val="1"/>
      <w:numFmt w:val="bullet"/>
      <w:lvlText w:val="•"/>
      <w:lvlJc w:val="left"/>
      <w:pPr>
        <w:tabs>
          <w:tab w:val="num" w:pos="5760"/>
        </w:tabs>
        <w:ind w:left="5760" w:hanging="360"/>
      </w:pPr>
      <w:rPr>
        <w:rFonts w:hint="default" w:ascii="Arial" w:hAnsi="Arial"/>
      </w:rPr>
    </w:lvl>
    <w:lvl w:ilvl="8" w:tplc="4764523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694838286">
    <w:abstractNumId w:val="3"/>
  </w:num>
  <w:num w:numId="2" w16cid:durableId="410081641">
    <w:abstractNumId w:val="7"/>
  </w:num>
  <w:num w:numId="3" w16cid:durableId="1550385321">
    <w:abstractNumId w:val="0"/>
  </w:num>
  <w:num w:numId="4" w16cid:durableId="815150107">
    <w:abstractNumId w:val="4"/>
  </w:num>
  <w:num w:numId="5" w16cid:durableId="944771457">
    <w:abstractNumId w:val="5"/>
  </w:num>
  <w:num w:numId="6" w16cid:durableId="1145658634">
    <w:abstractNumId w:val="1"/>
  </w:num>
  <w:num w:numId="7" w16cid:durableId="1314288241">
    <w:abstractNumId w:val="6"/>
  </w:num>
  <w:num w:numId="8" w16cid:durableId="144208210">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BA11FA4"/>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EBC4369"/>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4.xml><?xml version="1.0" encoding="utf-8"?>
<ds:datastoreItem xmlns:ds="http://schemas.openxmlformats.org/officeDocument/2006/customXml" ds:itemID="{9A508F71-C1AB-420D-81D8-903F1B5A1A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docId:0772FE3CD10BB47020E8DF4837A48F46</cp:keywords>
  <dc:description/>
  <cp:lastModifiedBy>Caitlin Grady</cp:lastModifiedBy>
  <cp:revision>5</cp:revision>
  <dcterms:created xsi:type="dcterms:W3CDTF">2025-06-10T03:09:00Z</dcterms:created>
  <dcterms:modified xsi:type="dcterms:W3CDTF">2025-11-05T01:20:59Z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